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F12EC" w14:textId="77777777" w:rsidR="009B793C" w:rsidRDefault="009B793C" w:rsidP="00447B22">
      <w:pPr>
        <w:jc w:val="both"/>
        <w:rPr>
          <w:b/>
          <w:color w:val="1F4E79" w:themeColor="accent5" w:themeShade="80"/>
          <w:sz w:val="28"/>
          <w:szCs w:val="28"/>
        </w:rPr>
      </w:pPr>
    </w:p>
    <w:p w14:paraId="18F5C5D9" w14:textId="77777777" w:rsidR="009B793C" w:rsidRDefault="009B793C" w:rsidP="00447B22">
      <w:pPr>
        <w:jc w:val="both"/>
        <w:rPr>
          <w:b/>
          <w:color w:val="1F4E79" w:themeColor="accent5" w:themeShade="80"/>
          <w:sz w:val="28"/>
          <w:szCs w:val="28"/>
        </w:rPr>
      </w:pPr>
    </w:p>
    <w:p w14:paraId="0E572EA2" w14:textId="77777777" w:rsidR="003B2F4A" w:rsidRDefault="009B793C" w:rsidP="009B793C">
      <w:pPr>
        <w:jc w:val="center"/>
        <w:rPr>
          <w:b/>
          <w:color w:val="1F4E79" w:themeColor="accent5" w:themeShade="80"/>
          <w:sz w:val="28"/>
          <w:szCs w:val="28"/>
        </w:rPr>
      </w:pPr>
      <w:r>
        <w:rPr>
          <w:b/>
          <w:color w:val="1F4E79" w:themeColor="accent5" w:themeShade="80"/>
          <w:sz w:val="28"/>
          <w:szCs w:val="28"/>
        </w:rPr>
        <w:t>Appel à projets</w:t>
      </w:r>
      <w:r w:rsidR="000F1454" w:rsidRPr="009B793C">
        <w:rPr>
          <w:b/>
          <w:color w:val="1F4E79" w:themeColor="accent5" w:themeShade="80"/>
          <w:sz w:val="28"/>
          <w:szCs w:val="28"/>
        </w:rPr>
        <w:t xml:space="preserve"> </w:t>
      </w:r>
      <w:r w:rsidR="003B2F4A">
        <w:rPr>
          <w:b/>
          <w:color w:val="1F4E79" w:themeColor="accent5" w:themeShade="80"/>
          <w:sz w:val="28"/>
          <w:szCs w:val="28"/>
        </w:rPr>
        <w:t xml:space="preserve">2026 </w:t>
      </w:r>
    </w:p>
    <w:p w14:paraId="27B3CEB4" w14:textId="6B49EEB3" w:rsidR="00000000" w:rsidRPr="009B793C" w:rsidRDefault="009B793C" w:rsidP="009B793C">
      <w:pPr>
        <w:jc w:val="center"/>
        <w:rPr>
          <w:b/>
          <w:color w:val="1F4E79" w:themeColor="accent5" w:themeShade="80"/>
          <w:sz w:val="28"/>
          <w:szCs w:val="28"/>
        </w:rPr>
      </w:pPr>
      <w:r>
        <w:rPr>
          <w:b/>
          <w:color w:val="1F4E79" w:themeColor="accent5" w:themeShade="80"/>
          <w:sz w:val="28"/>
          <w:szCs w:val="28"/>
        </w:rPr>
        <w:t>Pôle recherche éducation Hauts-de-France (PREHAUTS)</w:t>
      </w:r>
    </w:p>
    <w:p w14:paraId="380DA40F" w14:textId="77777777" w:rsidR="000F1454" w:rsidRDefault="000F1454" w:rsidP="00447B22">
      <w:pPr>
        <w:jc w:val="both"/>
      </w:pPr>
    </w:p>
    <w:p w14:paraId="7E5BB707" w14:textId="77777777" w:rsidR="0077099C" w:rsidRDefault="001667CC" w:rsidP="0077099C">
      <w:pPr>
        <w:jc w:val="both"/>
        <w:rPr>
          <w:lang w:eastAsia="fr-FR"/>
        </w:rPr>
      </w:pPr>
      <w:r>
        <w:t>Le Pôle recherche éducation Hauts-de-</w:t>
      </w:r>
      <w:r w:rsidR="008F0F59">
        <w:t>France (PREHAUTS)</w:t>
      </w:r>
      <w:r>
        <w:t xml:space="preserve"> marque l’aboutissement</w:t>
      </w:r>
      <w:r w:rsidR="008F0F59">
        <w:t>, sous la forme d’un groupement d’intérêt scientifique (GIS)</w:t>
      </w:r>
      <w:r>
        <w:t xml:space="preserve"> du projet de structure fédérative de recherche</w:t>
      </w:r>
      <w:r w:rsidR="008F0F59">
        <w:t xml:space="preserve"> (SFR)</w:t>
      </w:r>
      <w:r>
        <w:t xml:space="preserve"> en éducation mené depuis plus de 10 ans afin de fédérer les recherches en éducation dans les Hauts-de-France. Porté par les cinq universités publiques régionales et la région académique, il a pour ambition</w:t>
      </w:r>
      <w:r w:rsidR="0077099C">
        <w:t xml:space="preserve"> </w:t>
      </w:r>
      <w:r w:rsidR="0077099C">
        <w:rPr>
          <w:lang w:eastAsia="fr-FR"/>
        </w:rPr>
        <w:t xml:space="preserve">d’impulser des dynamiques et des projets de recherche répondant aux réalités éducatives du territoire, et de transférer les résultats de recherche auprès des professionnels, dans les écoles et dans les établissements de formation. Cela passe par une intensification des échanges entre les forces de recherche travaillant dans le champ de l’éducation et les acteurs de l’éducation, afin de faire remonter les besoins identifiés par les acteurs éducatifs en matière de recherche à mener et </w:t>
      </w:r>
      <w:r w:rsidR="008F0F59">
        <w:rPr>
          <w:lang w:eastAsia="fr-FR"/>
        </w:rPr>
        <w:t xml:space="preserve">de </w:t>
      </w:r>
      <w:r w:rsidR="0077099C">
        <w:rPr>
          <w:lang w:eastAsia="fr-FR"/>
        </w:rPr>
        <w:t>permettre une meilleure compréhension de leurs cultures professionnelles. Ces synergies nourrissent l’évolution des pratiques de recherche, en soutenant de nouvelles formes et modalités de recherche.</w:t>
      </w:r>
    </w:p>
    <w:p w14:paraId="1F8970BF" w14:textId="77777777" w:rsidR="001667CC" w:rsidRDefault="0077099C" w:rsidP="0077099C">
      <w:pPr>
        <w:jc w:val="both"/>
      </w:pPr>
      <w:r>
        <w:rPr>
          <w:lang w:eastAsia="fr-FR"/>
        </w:rPr>
        <w:t>Au-delà de la communauté scientifique, PREHAUTS a pour objectif de diffuser les résultats de la recherche en éducation vers la société, des écoles et lieux de formation jusqu’aux familles, pour en étendre la portée scientifique et sociétale.</w:t>
      </w:r>
    </w:p>
    <w:p w14:paraId="76B703C2" w14:textId="77777777" w:rsidR="001667CC" w:rsidRDefault="001667CC" w:rsidP="00447B22">
      <w:pPr>
        <w:jc w:val="both"/>
      </w:pPr>
    </w:p>
    <w:p w14:paraId="66182867" w14:textId="77777777" w:rsidR="000F1454" w:rsidRPr="009B793C" w:rsidRDefault="001667CC" w:rsidP="009B793C">
      <w:pPr>
        <w:jc w:val="center"/>
        <w:rPr>
          <w:sz w:val="24"/>
          <w:szCs w:val="24"/>
        </w:rPr>
      </w:pPr>
      <w:r w:rsidRPr="009B793C">
        <w:rPr>
          <w:b/>
          <w:bCs/>
          <w:color w:val="1F4E79" w:themeColor="accent5" w:themeShade="80"/>
          <w:sz w:val="24"/>
          <w:szCs w:val="24"/>
        </w:rPr>
        <w:t>PREHAUTS</w:t>
      </w:r>
      <w:r w:rsidRPr="009B793C">
        <w:rPr>
          <w:color w:val="1F4E79" w:themeColor="accent5" w:themeShade="80"/>
          <w:sz w:val="24"/>
          <w:szCs w:val="24"/>
        </w:rPr>
        <w:t xml:space="preserve"> </w:t>
      </w:r>
      <w:r w:rsidRPr="009B793C">
        <w:rPr>
          <w:sz w:val="24"/>
          <w:szCs w:val="24"/>
        </w:rPr>
        <w:t xml:space="preserve">lance son </w:t>
      </w:r>
      <w:r w:rsidRPr="009B793C">
        <w:rPr>
          <w:b/>
          <w:sz w:val="24"/>
          <w:szCs w:val="24"/>
        </w:rPr>
        <w:t xml:space="preserve">appel à </w:t>
      </w:r>
      <w:r w:rsidR="0077099C" w:rsidRPr="009B793C">
        <w:rPr>
          <w:b/>
          <w:sz w:val="24"/>
          <w:szCs w:val="24"/>
        </w:rPr>
        <w:t>projets 2026</w:t>
      </w:r>
      <w:r w:rsidRPr="009B793C">
        <w:rPr>
          <w:sz w:val="24"/>
          <w:szCs w:val="24"/>
        </w:rPr>
        <w:t>.</w:t>
      </w:r>
    </w:p>
    <w:p w14:paraId="47D2EC3B" w14:textId="77777777" w:rsidR="001667CC" w:rsidRDefault="001667CC" w:rsidP="00447B22">
      <w:pPr>
        <w:jc w:val="both"/>
      </w:pPr>
      <w:r>
        <w:t>Ces propositions doivent viser la production de connaissances originales en relation avec des enjeux professionnels identifiés pour l’éducation, les enseignements et les apprentissages</w:t>
      </w:r>
      <w:r w:rsidR="008F0F59">
        <w:t xml:space="preserve"> dans la région académique Hauts-de-France.</w:t>
      </w:r>
    </w:p>
    <w:p w14:paraId="01BD7418" w14:textId="0A249A60" w:rsidR="007D4B24" w:rsidRDefault="00295694" w:rsidP="00447B22">
      <w:pPr>
        <w:jc w:val="both"/>
      </w:pPr>
      <w:r>
        <w:t xml:space="preserve">Les </w:t>
      </w:r>
      <w:r w:rsidR="007D4B24">
        <w:t>projets</w:t>
      </w:r>
      <w:r>
        <w:t xml:space="preserve"> réunissent un groupe de chercheur.e.s</w:t>
      </w:r>
      <w:r w:rsidR="007D4B24">
        <w:t xml:space="preserve"> issus au minimum de deux universités des Hauts-de-</w:t>
      </w:r>
      <w:r w:rsidR="00C91348">
        <w:t>France</w:t>
      </w:r>
      <w:r>
        <w:t xml:space="preserve"> et de praticien.ne.s </w:t>
      </w:r>
      <w:r w:rsidR="007D4B24">
        <w:t>de la région académique Hauts-de-France</w:t>
      </w:r>
      <w:r w:rsidR="00C91348">
        <w:t>.</w:t>
      </w:r>
      <w:r w:rsidR="007D4B24">
        <w:t xml:space="preserve"> </w:t>
      </w:r>
      <w:r w:rsidR="00C91348">
        <w:t>Ces projets porteront sur</w:t>
      </w:r>
      <w:r>
        <w:t xml:space="preserve"> une thématique liée à l’un des cinq axes fédérateurs identifiés lors de la conception du GIS </w:t>
      </w:r>
      <w:r w:rsidR="00C91348">
        <w:t>(cf. annexe 1)</w:t>
      </w:r>
      <w:r>
        <w:t xml:space="preserve">. Ils s’étendent sur </w:t>
      </w:r>
      <w:r w:rsidR="00273C65">
        <w:t>18 mois</w:t>
      </w:r>
      <w:r w:rsidR="007D4B24">
        <w:t xml:space="preserve"> et peuvent permettre d’organiser des ateliers, séminaires, journées d’études, en incluant frais d’organisation et de déplacement des participants.</w:t>
      </w:r>
      <w:r>
        <w:t xml:space="preserve"> </w:t>
      </w:r>
    </w:p>
    <w:p w14:paraId="5C1B7C55" w14:textId="4008D703" w:rsidR="00295694" w:rsidRDefault="007D4B24" w:rsidP="00447B22">
      <w:pPr>
        <w:jc w:val="both"/>
      </w:pPr>
      <w:r>
        <w:t xml:space="preserve">Chacun des cinq axes dispose pour cet AAP d’un budget maximal de </w:t>
      </w:r>
      <w:r w:rsidR="00273C65">
        <w:t xml:space="preserve">2 </w:t>
      </w:r>
      <w:r w:rsidR="00944718">
        <w:t>5</w:t>
      </w:r>
      <w:r w:rsidR="00273C65">
        <w:t xml:space="preserve">00 euros, auxquels s’ajoutent 1 </w:t>
      </w:r>
      <w:r w:rsidR="00944718">
        <w:t>5</w:t>
      </w:r>
      <w:r w:rsidR="00273C65">
        <w:t>00 euros par axe pour les aspects logistiques</w:t>
      </w:r>
      <w:r>
        <w:t>. Les co-financements sont encouragés</w:t>
      </w:r>
      <w:r w:rsidR="009B793C">
        <w:t>, par exemple pour soutenir un projet de publication ou toute prestation complémentaire</w:t>
      </w:r>
      <w:r>
        <w:t xml:space="preserve">. </w:t>
      </w:r>
    </w:p>
    <w:p w14:paraId="257DAAE4" w14:textId="77777777" w:rsidR="00C91348" w:rsidRDefault="00C91348" w:rsidP="00447B22">
      <w:pPr>
        <w:jc w:val="both"/>
      </w:pPr>
    </w:p>
    <w:p w14:paraId="6111A76C" w14:textId="77777777" w:rsidR="00C91348" w:rsidRPr="009B793C" w:rsidRDefault="00C91348" w:rsidP="00C91348">
      <w:pPr>
        <w:jc w:val="both"/>
        <w:rPr>
          <w:b/>
          <w:color w:val="1F4E79" w:themeColor="accent5" w:themeShade="80"/>
        </w:rPr>
      </w:pPr>
      <w:r w:rsidRPr="009B793C">
        <w:rPr>
          <w:b/>
          <w:color w:val="1F4E79" w:themeColor="accent5" w:themeShade="80"/>
        </w:rPr>
        <w:t xml:space="preserve">Critères d’éligibilité </w:t>
      </w:r>
    </w:p>
    <w:p w14:paraId="7D50B5B8" w14:textId="56349D50" w:rsidR="00C91348" w:rsidRDefault="00C91348" w:rsidP="00C91348">
      <w:pPr>
        <w:jc w:val="both"/>
      </w:pPr>
      <w:r>
        <w:t xml:space="preserve">Les projets déposés doivent démontrer leur caractère </w:t>
      </w:r>
      <w:r w:rsidRPr="0093519A">
        <w:rPr>
          <w:b/>
        </w:rPr>
        <w:t>original</w:t>
      </w:r>
      <w:r>
        <w:rPr>
          <w:b/>
        </w:rPr>
        <w:t> </w:t>
      </w:r>
      <w:r>
        <w:t xml:space="preserve">; ils peuvent </w:t>
      </w:r>
      <w:r w:rsidRPr="0093519A">
        <w:rPr>
          <w:b/>
        </w:rPr>
        <w:t>être disciplinaires ou interdisciplinaires</w:t>
      </w:r>
      <w:r>
        <w:t>. La description du projet s’appuiera</w:t>
      </w:r>
      <w:r w:rsidR="003916B0">
        <w:t>, de manière synthétique,</w:t>
      </w:r>
      <w:r>
        <w:t xml:space="preserve"> sur une discussion de la littérature existante et précisera les résultats attendus du travail collaboratif, afin d’étayer la demande.</w:t>
      </w:r>
    </w:p>
    <w:p w14:paraId="1C584BBB" w14:textId="77777777" w:rsidR="00C91348" w:rsidRDefault="00C91348" w:rsidP="00C91348">
      <w:pPr>
        <w:jc w:val="both"/>
      </w:pPr>
      <w:r>
        <w:lastRenderedPageBreak/>
        <w:t>La candidature doit être portée par un membre titulaire d’une unité de recherche rattachée à l’une ou à plusieurs des cinq universités publiques régionales. Les projets associant des chercheurs de plusieurs unités de recherche et de plusieurs universités sont particulièrement souhaités. La participation active de professionnels de l’éducation et de partenaires de l’école</w:t>
      </w:r>
      <w:r>
        <w:rPr>
          <w:rStyle w:val="fontstyle01"/>
        </w:rPr>
        <w:t xml:space="preserve">, est également bienvenue. </w:t>
      </w:r>
      <w:r>
        <w:t xml:space="preserve">Une attention particulière sera portée aux projets s’inscrivant dans une dynamique transfrontalière naissante ou déjà en cours de structuration. </w:t>
      </w:r>
    </w:p>
    <w:p w14:paraId="025E1064" w14:textId="77777777" w:rsidR="00C91348" w:rsidRPr="00245F08" w:rsidRDefault="00C91348" w:rsidP="00C91348">
      <w:pPr>
        <w:jc w:val="both"/>
        <w:rPr>
          <w:rFonts w:ascii="Calibri" w:hAnsi="Calibri" w:cs="Calibri"/>
          <w:color w:val="000000"/>
        </w:rPr>
      </w:pPr>
    </w:p>
    <w:p w14:paraId="6DA77C6E" w14:textId="77777777" w:rsidR="00C91348" w:rsidRPr="009B793C" w:rsidRDefault="00C91348" w:rsidP="00C91348">
      <w:pPr>
        <w:jc w:val="both"/>
        <w:rPr>
          <w:b/>
          <w:color w:val="1F4E79" w:themeColor="accent5" w:themeShade="80"/>
        </w:rPr>
      </w:pPr>
      <w:r w:rsidRPr="009B793C">
        <w:rPr>
          <w:b/>
          <w:color w:val="1F4E79" w:themeColor="accent5" w:themeShade="80"/>
        </w:rPr>
        <w:t>Critères d’évaluation</w:t>
      </w:r>
    </w:p>
    <w:p w14:paraId="4D5D7954" w14:textId="2C287D6D" w:rsidR="00C91348" w:rsidRDefault="00C91348" w:rsidP="00C91348">
      <w:pPr>
        <w:jc w:val="both"/>
      </w:pPr>
      <w:r>
        <w:t>L’association de</w:t>
      </w:r>
      <w:r w:rsidR="003916B0">
        <w:t xml:space="preserve"> chercheurs d’un minimum de deux universités et/ou unités de recherche </w:t>
      </w:r>
      <w:r>
        <w:t>des Hauts-de-France au minimum</w:t>
      </w:r>
      <w:r w:rsidR="003916B0">
        <w:t xml:space="preserve">, de même qu’un lien explicite </w:t>
      </w:r>
      <w:r w:rsidR="004B3F0F">
        <w:t>avec les acteurs éducatifs du territoire (à tous les niveaux et dans tous les segments du système éducatif), sont requis.</w:t>
      </w:r>
    </w:p>
    <w:p w14:paraId="1604758B" w14:textId="319FCCEB" w:rsidR="00C91348" w:rsidRDefault="00C91348" w:rsidP="00C91348">
      <w:pPr>
        <w:jc w:val="both"/>
      </w:pPr>
      <w:r>
        <w:t>L’évaluation des projets, qui s’inscriront dans l’un des axes structurants</w:t>
      </w:r>
      <w:r w:rsidR="00273C65">
        <w:t xml:space="preserve"> (un projet lauréat par axe scientifique)</w:t>
      </w:r>
      <w:r>
        <w:t xml:space="preserve">, portera en particulier sur l’originalité, la pertinence et l’adéquation entre la demande et les actions envisagées ; un projet sur </w:t>
      </w:r>
      <w:r w:rsidR="00273C65">
        <w:t>18 mois</w:t>
      </w:r>
      <w:r>
        <w:t xml:space="preserve"> peut permettre de tester des outils méthodologiques, d’investiguer une hypothèse, d’initier une dynamique scientifique partenariale, etc. </w:t>
      </w:r>
    </w:p>
    <w:p w14:paraId="441E09CC" w14:textId="18B7210C" w:rsidR="00C91348" w:rsidRDefault="00C91348" w:rsidP="00C91348">
      <w:pPr>
        <w:jc w:val="both"/>
      </w:pPr>
      <w:r>
        <w:t>Chaque projet déposé doit inclure l’engagement à participer, durant l’année qui suit la conduite du projet, à la réunion scientifique annuelle du GIS PREHAUTS, en juin, pour présenter les activités menées, les résultats obtenus et les perspectives de prolongement. Toute production scientifique issue d’un projet soutenu mentionnera le financement obtenu du GIS PREHAUTS.</w:t>
      </w:r>
    </w:p>
    <w:p w14:paraId="4F6AA8B5" w14:textId="77777777" w:rsidR="00C91348" w:rsidRDefault="00C91348" w:rsidP="00C91348">
      <w:pPr>
        <w:jc w:val="both"/>
      </w:pPr>
    </w:p>
    <w:p w14:paraId="49D6FA2D" w14:textId="77777777" w:rsidR="00C91348" w:rsidRPr="009B793C" w:rsidRDefault="00C91348" w:rsidP="00C91348">
      <w:pPr>
        <w:jc w:val="both"/>
        <w:rPr>
          <w:color w:val="1F4E79" w:themeColor="accent5" w:themeShade="80"/>
        </w:rPr>
      </w:pPr>
      <w:r w:rsidRPr="009B793C">
        <w:rPr>
          <w:b/>
          <w:color w:val="1F4E79" w:themeColor="accent5" w:themeShade="80"/>
        </w:rPr>
        <w:t>Calendrier prévisionnel</w:t>
      </w:r>
    </w:p>
    <w:p w14:paraId="0EFF120C" w14:textId="1AC2E742" w:rsidR="004B3F0F" w:rsidRDefault="004B3F0F" w:rsidP="00447B22">
      <w:pPr>
        <w:jc w:val="both"/>
      </w:pPr>
      <w:r>
        <w:t xml:space="preserve">Date limite pour le dépôt des projets (dossier disponible en annexe 2) : </w:t>
      </w:r>
      <w:r w:rsidR="00944718">
        <w:t>18</w:t>
      </w:r>
      <w:r w:rsidR="00273C65">
        <w:t xml:space="preserve"> septembre 2026</w:t>
      </w:r>
    </w:p>
    <w:p w14:paraId="6A63FF7E" w14:textId="4236C649" w:rsidR="004B3F0F" w:rsidRDefault="004B3F0F" w:rsidP="00447B22">
      <w:pPr>
        <w:jc w:val="both"/>
      </w:pPr>
      <w:r>
        <w:t xml:space="preserve">Examen des projets </w:t>
      </w:r>
      <w:r w:rsidRPr="003916B0">
        <w:t>par le comité de direction et le comité scientifique</w:t>
      </w:r>
      <w:r>
        <w:t xml:space="preserve"> : </w:t>
      </w:r>
      <w:r w:rsidR="00944718">
        <w:t>à partir du 21</w:t>
      </w:r>
      <w:r w:rsidR="00273C65">
        <w:t xml:space="preserve"> septembre 2026.</w:t>
      </w:r>
    </w:p>
    <w:p w14:paraId="194D7A44" w14:textId="017861B3" w:rsidR="004B3F0F" w:rsidRDefault="004B3F0F" w:rsidP="00447B22">
      <w:pPr>
        <w:jc w:val="both"/>
      </w:pPr>
      <w:r>
        <w:t xml:space="preserve">Information sur les résultats : </w:t>
      </w:r>
      <w:r w:rsidR="00A2731B">
        <w:t xml:space="preserve">à partir du </w:t>
      </w:r>
      <w:r w:rsidR="00273C65">
        <w:t>1</w:t>
      </w:r>
      <w:r w:rsidR="00273C65" w:rsidRPr="00273C65">
        <w:rPr>
          <w:vertAlign w:val="superscript"/>
        </w:rPr>
        <w:t>er</w:t>
      </w:r>
      <w:r w:rsidR="00273C65">
        <w:t xml:space="preserve"> octobre 2026.</w:t>
      </w:r>
    </w:p>
    <w:p w14:paraId="6E0F60CC" w14:textId="77777777" w:rsidR="004B3F0F" w:rsidRDefault="004B3F0F" w:rsidP="00447B22">
      <w:pPr>
        <w:jc w:val="both"/>
      </w:pPr>
    </w:p>
    <w:p w14:paraId="5F01577C" w14:textId="77777777" w:rsidR="00315BE2" w:rsidRDefault="00315BE2" w:rsidP="00447B22">
      <w:pPr>
        <w:jc w:val="both"/>
        <w:sectPr w:rsidR="00315BE2" w:rsidSect="004B3F0F">
          <w:headerReference w:type="default" r:id="rId8"/>
          <w:footerReference w:type="default" r:id="rId9"/>
          <w:pgSz w:w="11906" w:h="16838"/>
          <w:pgMar w:top="1417" w:right="1417" w:bottom="1417" w:left="1417" w:header="1247" w:footer="708" w:gutter="0"/>
          <w:cols w:space="708"/>
          <w:docGrid w:linePitch="360"/>
        </w:sectPr>
      </w:pPr>
    </w:p>
    <w:p w14:paraId="5186271B" w14:textId="77777777" w:rsidR="004B3F0F" w:rsidRDefault="004B3F0F" w:rsidP="00447B22">
      <w:pPr>
        <w:jc w:val="both"/>
      </w:pPr>
    </w:p>
    <w:p w14:paraId="229728B4" w14:textId="77777777" w:rsidR="004B3F0F" w:rsidRPr="009B793C" w:rsidRDefault="00315BE2" w:rsidP="00447B22">
      <w:pPr>
        <w:jc w:val="both"/>
        <w:rPr>
          <w:b/>
          <w:bCs/>
          <w:color w:val="1F4E79" w:themeColor="accent5" w:themeShade="80"/>
        </w:rPr>
      </w:pPr>
      <w:r w:rsidRPr="009B793C">
        <w:rPr>
          <w:b/>
          <w:bCs/>
          <w:color w:val="1F4E79" w:themeColor="accent5" w:themeShade="80"/>
        </w:rPr>
        <w:t>Avec le soutien de</w:t>
      </w:r>
    </w:p>
    <w:p w14:paraId="1C013877" w14:textId="77777777" w:rsidR="004B3F0F" w:rsidRPr="008E2DC0" w:rsidRDefault="001356E9" w:rsidP="004B3F0F">
      <w:pPr>
        <w:tabs>
          <w:tab w:val="left" w:pos="3213"/>
        </w:tabs>
        <w:jc w:val="both"/>
        <w:rPr>
          <w:rFonts w:ascii="Marianne" w:hAnsi="Marianne"/>
          <w:sz w:val="20"/>
          <w:szCs w:val="20"/>
          <w:highlight w:val="yellow"/>
        </w:rPr>
      </w:pPr>
      <w:r w:rsidRPr="008E2DC0">
        <w:rPr>
          <w:rFonts w:ascii="Marianne" w:hAnsi="Marianne"/>
          <w:noProof/>
          <w:sz w:val="20"/>
          <w:szCs w:val="20"/>
          <w:lang w:eastAsia="fr-FR"/>
        </w:rPr>
        <w:drawing>
          <wp:anchor distT="0" distB="0" distL="114300" distR="114300" simplePos="0" relativeHeight="251660288" behindDoc="1" locked="0" layoutInCell="1" allowOverlap="1" wp14:anchorId="5146DAEE" wp14:editId="74D2504A">
            <wp:simplePos x="0" y="0"/>
            <wp:positionH relativeFrom="column">
              <wp:posOffset>4745990</wp:posOffset>
            </wp:positionH>
            <wp:positionV relativeFrom="paragraph">
              <wp:posOffset>40640</wp:posOffset>
            </wp:positionV>
            <wp:extent cx="942975" cy="942975"/>
            <wp:effectExtent l="0" t="0" r="9525" b="9525"/>
            <wp:wrapTight wrapText="bothSides">
              <wp:wrapPolygon edited="0">
                <wp:start x="0" y="0"/>
                <wp:lineTo x="0" y="21382"/>
                <wp:lineTo x="21382" y="21382"/>
                <wp:lineTo x="21382"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99733495_601640458046834_5277967348233633785_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14:sizeRelH relativeFrom="margin">
              <wp14:pctWidth>0</wp14:pctWidth>
            </wp14:sizeRelH>
            <wp14:sizeRelV relativeFrom="margin">
              <wp14:pctHeight>0</wp14:pctHeight>
            </wp14:sizeRelV>
          </wp:anchor>
        </w:drawing>
      </w:r>
      <w:r w:rsidR="004B3F0F">
        <w:rPr>
          <w:noProof/>
          <w:lang w:eastAsia="fr-FR"/>
        </w:rPr>
        <w:drawing>
          <wp:anchor distT="0" distB="0" distL="114300" distR="114300" simplePos="0" relativeHeight="251667456" behindDoc="0" locked="0" layoutInCell="1" allowOverlap="1" wp14:anchorId="746ABF13" wp14:editId="3E3128EC">
            <wp:simplePos x="0" y="0"/>
            <wp:positionH relativeFrom="margin">
              <wp:posOffset>2574925</wp:posOffset>
            </wp:positionH>
            <wp:positionV relativeFrom="margin">
              <wp:posOffset>6621780</wp:posOffset>
            </wp:positionV>
            <wp:extent cx="795655" cy="795655"/>
            <wp:effectExtent l="0" t="0" r="4445" b="4445"/>
            <wp:wrapSquare wrapText="bothSides"/>
            <wp:docPr id="7" name="Image 7" descr="logo de l'université de la cote d'opale en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l'université de la cote d'opale en Fra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5655" cy="795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3F0F" w:rsidRPr="008E2DC0">
        <w:rPr>
          <w:rFonts w:ascii="Marianne" w:hAnsi="Marianne"/>
          <w:noProof/>
          <w:sz w:val="20"/>
          <w:szCs w:val="20"/>
          <w:lang w:eastAsia="fr-FR"/>
        </w:rPr>
        <w:drawing>
          <wp:anchor distT="0" distB="0" distL="114300" distR="114300" simplePos="0" relativeHeight="251662336" behindDoc="1" locked="0" layoutInCell="1" allowOverlap="1" wp14:anchorId="7EFBCAA9" wp14:editId="1C9AA8F0">
            <wp:simplePos x="0" y="0"/>
            <wp:positionH relativeFrom="margin">
              <wp:posOffset>1258570</wp:posOffset>
            </wp:positionH>
            <wp:positionV relativeFrom="paragraph">
              <wp:posOffset>271145</wp:posOffset>
            </wp:positionV>
            <wp:extent cx="981710" cy="422910"/>
            <wp:effectExtent l="0" t="0" r="0" b="0"/>
            <wp:wrapTight wrapText="bothSides">
              <wp:wrapPolygon edited="0">
                <wp:start x="0" y="1946"/>
                <wp:lineTo x="0" y="18486"/>
                <wp:lineTo x="838" y="18486"/>
                <wp:lineTo x="19700" y="16541"/>
                <wp:lineTo x="19700" y="3892"/>
                <wp:lineTo x="838" y="1946"/>
                <wp:lineTo x="0" y="1946"/>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PE-ULille-RVB-H-2021.png"/>
                    <pic:cNvPicPr/>
                  </pic:nvPicPr>
                  <pic:blipFill rotWithShape="1">
                    <a:blip r:embed="rId12" cstate="print">
                      <a:extLst>
                        <a:ext uri="{28A0092B-C50C-407E-A947-70E740481C1C}">
                          <a14:useLocalDpi xmlns:a14="http://schemas.microsoft.com/office/drawing/2010/main" val="0"/>
                        </a:ext>
                      </a:extLst>
                    </a:blip>
                    <a:srcRect l="51055"/>
                    <a:stretch/>
                  </pic:blipFill>
                  <pic:spPr bwMode="auto">
                    <a:xfrm>
                      <a:off x="0" y="0"/>
                      <a:ext cx="981710" cy="422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B3F0F" w:rsidRPr="008E2DC0">
        <w:rPr>
          <w:rFonts w:ascii="Marianne" w:hAnsi="Marianne"/>
          <w:noProof/>
          <w:sz w:val="20"/>
          <w:szCs w:val="20"/>
          <w:lang w:eastAsia="fr-FR"/>
        </w:rPr>
        <w:drawing>
          <wp:anchor distT="0" distB="0" distL="114300" distR="114300" simplePos="0" relativeHeight="251664384" behindDoc="1" locked="0" layoutInCell="1" allowOverlap="1" wp14:anchorId="744FB642" wp14:editId="310FEF39">
            <wp:simplePos x="0" y="0"/>
            <wp:positionH relativeFrom="column">
              <wp:posOffset>26670</wp:posOffset>
            </wp:positionH>
            <wp:positionV relativeFrom="paragraph">
              <wp:posOffset>203835</wp:posOffset>
            </wp:positionV>
            <wp:extent cx="919480" cy="508000"/>
            <wp:effectExtent l="0" t="0" r="0" b="6350"/>
            <wp:wrapNone/>
            <wp:docPr id="10" name="Image 10" descr="Université d’Artois - 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iversité d’Artois - Accuei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9480" cy="508000"/>
                    </a:xfrm>
                    <a:prstGeom prst="rect">
                      <a:avLst/>
                    </a:prstGeom>
                    <a:noFill/>
                    <a:ln>
                      <a:noFill/>
                    </a:ln>
                  </pic:spPr>
                </pic:pic>
              </a:graphicData>
            </a:graphic>
          </wp:anchor>
        </w:drawing>
      </w:r>
      <w:r w:rsidR="004B3F0F" w:rsidRPr="008E2DC0">
        <w:rPr>
          <w:rFonts w:ascii="Marianne" w:hAnsi="Marianne"/>
          <w:noProof/>
          <w:sz w:val="20"/>
          <w:szCs w:val="20"/>
          <w:lang w:eastAsia="fr-FR"/>
        </w:rPr>
        <w:drawing>
          <wp:anchor distT="0" distB="0" distL="114300" distR="114300" simplePos="0" relativeHeight="251661312" behindDoc="1" locked="0" layoutInCell="1" allowOverlap="1" wp14:anchorId="4B593140" wp14:editId="37C35265">
            <wp:simplePos x="0" y="0"/>
            <wp:positionH relativeFrom="column">
              <wp:posOffset>3720465</wp:posOffset>
            </wp:positionH>
            <wp:positionV relativeFrom="paragraph">
              <wp:posOffset>5080</wp:posOffset>
            </wp:positionV>
            <wp:extent cx="956310" cy="956310"/>
            <wp:effectExtent l="0" t="0" r="0" b="0"/>
            <wp:wrapTight wrapText="bothSides">
              <wp:wrapPolygon edited="0">
                <wp:start x="0" y="0"/>
                <wp:lineTo x="0" y="21084"/>
                <wp:lineTo x="21084" y="21084"/>
                <wp:lineTo x="21084"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27686263_708933610869212_5702418296088439019_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6310" cy="956310"/>
                    </a:xfrm>
                    <a:prstGeom prst="rect">
                      <a:avLst/>
                    </a:prstGeom>
                  </pic:spPr>
                </pic:pic>
              </a:graphicData>
            </a:graphic>
          </wp:anchor>
        </w:drawing>
      </w:r>
    </w:p>
    <w:p w14:paraId="75DFF41C" w14:textId="77777777" w:rsidR="004B3F0F" w:rsidRPr="008E2DC0" w:rsidRDefault="004B3F0F" w:rsidP="004B3F0F">
      <w:pPr>
        <w:tabs>
          <w:tab w:val="left" w:pos="3213"/>
        </w:tabs>
        <w:jc w:val="both"/>
        <w:rPr>
          <w:rFonts w:ascii="Marianne" w:hAnsi="Marianne"/>
          <w:sz w:val="20"/>
          <w:szCs w:val="20"/>
        </w:rPr>
      </w:pPr>
      <w:r w:rsidRPr="008E2DC0">
        <w:rPr>
          <w:rFonts w:ascii="Marianne" w:hAnsi="Marianne"/>
          <w:noProof/>
          <w:sz w:val="20"/>
          <w:szCs w:val="20"/>
          <w:lang w:eastAsia="fr-FR"/>
        </w:rPr>
        <mc:AlternateContent>
          <mc:Choice Requires="wps">
            <w:drawing>
              <wp:inline distT="0" distB="0" distL="0" distR="0" wp14:anchorId="5B3CC6FB" wp14:editId="45AA604D">
                <wp:extent cx="304800" cy="304800"/>
                <wp:effectExtent l="0" t="0" r="0" b="0"/>
                <wp:docPr id="6" name="Rectangle 6" descr="https://logowik.com/content/uploads/images/region-academique-hauts-de-france9674.logowik.com.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16853D" id="Rectangle 6" o:spid="_x0000_s1026" alt="https://logowik.com/content/uploads/images/region-academique-hauts-de-france9674.logowik.com.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Mi2VkPUCAAAh&#10;BgAADgAAAAAAAAAAAAAAAAAuAgAAZHJzL2Uyb0RvYy54bWxQSwECLQAUAAYACAAAACEATKDpLNgA&#10;AAADAQAADwAAAAAAAAAAAAAAAABPBQAAZHJzL2Rvd25yZXYueG1sUEsFBgAAAAAEAAQA8wAAAFQG&#10;AAAAAA==&#10;" filled="f" stroked="f">
                <o:lock v:ext="edit" aspectratio="t"/>
                <w10:anchorlock/>
              </v:rect>
            </w:pict>
          </mc:Fallback>
        </mc:AlternateContent>
      </w:r>
    </w:p>
    <w:p w14:paraId="2BA4CFEF" w14:textId="77777777" w:rsidR="004B3F0F" w:rsidRDefault="004B3F0F" w:rsidP="00447B22">
      <w:pPr>
        <w:jc w:val="both"/>
      </w:pPr>
    </w:p>
    <w:p w14:paraId="6CC9BDBE" w14:textId="77777777" w:rsidR="004B3F0F" w:rsidRDefault="004B3F0F" w:rsidP="00447B22">
      <w:pPr>
        <w:jc w:val="both"/>
      </w:pPr>
      <w:r w:rsidRPr="008E2DC0">
        <w:rPr>
          <w:rFonts w:ascii="Marianne" w:hAnsi="Marianne"/>
          <w:noProof/>
          <w:sz w:val="20"/>
          <w:szCs w:val="20"/>
          <w:lang w:eastAsia="fr-FR"/>
        </w:rPr>
        <w:drawing>
          <wp:anchor distT="0" distB="0" distL="114300" distR="114300" simplePos="0" relativeHeight="251663360" behindDoc="1" locked="0" layoutInCell="1" allowOverlap="1" wp14:anchorId="343D5100" wp14:editId="2F593D79">
            <wp:simplePos x="0" y="0"/>
            <wp:positionH relativeFrom="margin">
              <wp:posOffset>3088640</wp:posOffset>
            </wp:positionH>
            <wp:positionV relativeFrom="paragraph">
              <wp:posOffset>229870</wp:posOffset>
            </wp:positionV>
            <wp:extent cx="1280795" cy="721360"/>
            <wp:effectExtent l="0" t="0" r="0" b="2540"/>
            <wp:wrapTight wrapText="bothSides">
              <wp:wrapPolygon edited="0">
                <wp:start x="0" y="0"/>
                <wp:lineTo x="0" y="21106"/>
                <wp:lineTo x="21204" y="21106"/>
                <wp:lineTo x="21204"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égion_académique_Hauts-de-France.sv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80795" cy="721360"/>
                    </a:xfrm>
                    <a:prstGeom prst="rect">
                      <a:avLst/>
                    </a:prstGeom>
                  </pic:spPr>
                </pic:pic>
              </a:graphicData>
            </a:graphic>
            <wp14:sizeRelH relativeFrom="margin">
              <wp14:pctWidth>0</wp14:pctWidth>
            </wp14:sizeRelH>
            <wp14:sizeRelV relativeFrom="margin">
              <wp14:pctHeight>0</wp14:pctHeight>
            </wp14:sizeRelV>
          </wp:anchor>
        </w:drawing>
      </w:r>
    </w:p>
    <w:p w14:paraId="12810B87" w14:textId="77777777" w:rsidR="004B3F0F" w:rsidRDefault="004B3F0F" w:rsidP="00447B22">
      <w:pPr>
        <w:jc w:val="both"/>
      </w:pPr>
      <w:r>
        <w:rPr>
          <w:noProof/>
        </w:rPr>
        <w:drawing>
          <wp:anchor distT="0" distB="0" distL="114300" distR="114300" simplePos="0" relativeHeight="251669504" behindDoc="0" locked="0" layoutInCell="1" allowOverlap="1" wp14:anchorId="0D9827F2" wp14:editId="2141325A">
            <wp:simplePos x="0" y="0"/>
            <wp:positionH relativeFrom="margin">
              <wp:posOffset>1148080</wp:posOffset>
            </wp:positionH>
            <wp:positionV relativeFrom="margin">
              <wp:posOffset>7825105</wp:posOffset>
            </wp:positionV>
            <wp:extent cx="822960" cy="520700"/>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296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A3E3ED" w14:textId="77777777" w:rsidR="004B3F0F" w:rsidRDefault="004B3F0F" w:rsidP="00447B22">
      <w:pPr>
        <w:jc w:val="both"/>
      </w:pPr>
    </w:p>
    <w:p w14:paraId="596BE98A" w14:textId="77777777" w:rsidR="00C91348" w:rsidRDefault="00C91348" w:rsidP="00447B22">
      <w:pPr>
        <w:jc w:val="both"/>
        <w:rPr>
          <w:b/>
        </w:rPr>
      </w:pPr>
      <w:r>
        <w:rPr>
          <w:b/>
        </w:rPr>
        <w:br w:type="page"/>
      </w:r>
    </w:p>
    <w:p w14:paraId="1BEB4972" w14:textId="77777777" w:rsidR="007714F6" w:rsidRDefault="007714F6" w:rsidP="00447B22">
      <w:pPr>
        <w:jc w:val="both"/>
        <w:rPr>
          <w:b/>
          <w:color w:val="1F4E79" w:themeColor="accent5" w:themeShade="80"/>
        </w:rPr>
      </w:pPr>
    </w:p>
    <w:p w14:paraId="2C6D6CFD" w14:textId="77777777" w:rsidR="0077099C" w:rsidRPr="009B793C" w:rsidRDefault="00C91348" w:rsidP="00447B22">
      <w:pPr>
        <w:jc w:val="both"/>
        <w:rPr>
          <w:b/>
          <w:color w:val="1F4E79" w:themeColor="accent5" w:themeShade="80"/>
        </w:rPr>
      </w:pPr>
      <w:r w:rsidRPr="009B793C">
        <w:rPr>
          <w:b/>
          <w:color w:val="1F4E79" w:themeColor="accent5" w:themeShade="80"/>
        </w:rPr>
        <w:t xml:space="preserve">Annexe n°1 : </w:t>
      </w:r>
      <w:r w:rsidR="0077099C" w:rsidRPr="009B793C">
        <w:rPr>
          <w:b/>
          <w:color w:val="1F4E79" w:themeColor="accent5" w:themeShade="80"/>
        </w:rPr>
        <w:t>Axes structurant l’appel à projets</w:t>
      </w:r>
    </w:p>
    <w:p w14:paraId="7CFADFD4" w14:textId="77777777" w:rsidR="0077099C" w:rsidRPr="009B793C" w:rsidRDefault="0077099C" w:rsidP="00447B22">
      <w:pPr>
        <w:jc w:val="both"/>
        <w:rPr>
          <w:color w:val="1F4E79" w:themeColor="accent5" w:themeShade="80"/>
        </w:rPr>
      </w:pPr>
    </w:p>
    <w:p w14:paraId="3F69B184" w14:textId="587634D1" w:rsidR="0077099C" w:rsidRPr="009B793C" w:rsidRDefault="0077099C" w:rsidP="0077099C">
      <w:pPr>
        <w:spacing w:line="273" w:lineRule="auto"/>
        <w:ind w:left="252" w:right="109" w:firstLine="50"/>
        <w:jc w:val="both"/>
        <w:rPr>
          <w:b/>
          <w:color w:val="1F4E79" w:themeColor="accent5" w:themeShade="80"/>
        </w:rPr>
      </w:pPr>
      <w:r w:rsidRPr="009B793C">
        <w:rPr>
          <w:b/>
          <w:color w:val="1F4E79" w:themeColor="accent5" w:themeShade="80"/>
        </w:rPr>
        <w:t xml:space="preserve">Axe 1 – Interroger les parcours scolaires en contextes : inégalités socio-territoriales et politiques </w:t>
      </w:r>
      <w:r w:rsidRPr="009B793C">
        <w:rPr>
          <w:b/>
          <w:color w:val="1F4E79" w:themeColor="accent5" w:themeShade="80"/>
          <w:spacing w:val="-2"/>
        </w:rPr>
        <w:t>éducatives</w:t>
      </w:r>
      <w:r w:rsidR="003B2F4A">
        <w:rPr>
          <w:b/>
          <w:color w:val="1F4E79" w:themeColor="accent5" w:themeShade="80"/>
          <w:spacing w:val="-2"/>
        </w:rPr>
        <w:t xml:space="preserve"> (pilote d’axe : Jean-François CONDETTE </w:t>
      </w:r>
      <w:hyperlink r:id="rId17" w:history="1">
        <w:r w:rsidR="003B2F4A" w:rsidRPr="00215636">
          <w:rPr>
            <w:rStyle w:val="Lienhypertexte"/>
            <w:b/>
            <w:spacing w:val="-2"/>
          </w:rPr>
          <w:t>jeanfrancois.condette@univ-lille.fr</w:t>
        </w:r>
      </w:hyperlink>
      <w:r w:rsidR="003B2F4A">
        <w:rPr>
          <w:b/>
          <w:color w:val="1F4E79" w:themeColor="accent5" w:themeShade="80"/>
          <w:spacing w:val="-2"/>
        </w:rPr>
        <w:t xml:space="preserve"> )</w:t>
      </w:r>
    </w:p>
    <w:p w14:paraId="54CBE533" w14:textId="77777777" w:rsidR="0077099C" w:rsidRDefault="0077099C" w:rsidP="0077099C">
      <w:pPr>
        <w:pStyle w:val="Corpsdetexte"/>
        <w:spacing w:before="45"/>
        <w:rPr>
          <w:b/>
        </w:rPr>
      </w:pPr>
    </w:p>
    <w:p w14:paraId="4813E307" w14:textId="77777777" w:rsidR="00944718" w:rsidRPr="00944718" w:rsidRDefault="00944718" w:rsidP="00944718">
      <w:pPr>
        <w:pStyle w:val="Corpsdetexte"/>
        <w:spacing w:before="1" w:line="276" w:lineRule="auto"/>
        <w:ind w:right="107"/>
        <w:jc w:val="both"/>
        <w:rPr>
          <w:rFonts w:asciiTheme="minorHAnsi" w:hAnsiTheme="minorHAnsi" w:cstheme="minorHAnsi"/>
        </w:rPr>
      </w:pPr>
      <w:r w:rsidRPr="00944718">
        <w:rPr>
          <w:rFonts w:asciiTheme="minorHAnsi" w:hAnsiTheme="minorHAnsi" w:cstheme="minorHAnsi"/>
        </w:rPr>
        <w:t>Alors que la notion de « parcours » semble s’imposer dans de nombreux dispositifs scolaires et universitaires, autour d’une dimension de dynamique personnelle et collective, de trajectoire individuelle à accompagner, qui repose sur une série de choix personnels, tout en tenant compte des contextes environnants (famille, groupe social, monde économique, réalités territoriales proches, etc.), il semble fondamental d’analyser ces éléments en associant, au plus près du terrain scolaire, enseignants-chercheurs et acteurs des établissements scolaires. A l’heure du « Parcours avenir » qui doit permettre à chaque élève de définir progressivement ses compétences dans les choix d’orientation, à l’heure du continuum de formation de l’enseignement scolaire à l’enseignement supérieur (bac-3/bac+3), l’étude des trajectoires des élèves mais aussi des personnels éducatifs forme un axe majeur de réflexion et d’analyse.</w:t>
      </w:r>
    </w:p>
    <w:p w14:paraId="3DF967B9" w14:textId="77777777" w:rsidR="00944718" w:rsidRPr="00944718" w:rsidRDefault="00944718" w:rsidP="00944718">
      <w:pPr>
        <w:pStyle w:val="Corpsdetexte"/>
        <w:spacing w:line="268" w:lineRule="exact"/>
        <w:ind w:left="252"/>
        <w:jc w:val="both"/>
        <w:rPr>
          <w:rFonts w:asciiTheme="minorHAnsi" w:hAnsiTheme="minorHAnsi" w:cstheme="minorHAnsi"/>
        </w:rPr>
      </w:pPr>
      <w:r w:rsidRPr="00944718">
        <w:rPr>
          <w:rFonts w:asciiTheme="minorHAnsi" w:hAnsiTheme="minorHAnsi" w:cstheme="minorHAnsi"/>
        </w:rPr>
        <w:t>Quatre pôles structurent cet axe, décidés et ajustées lors des réunions des années 2024-2026</w:t>
      </w:r>
    </w:p>
    <w:p w14:paraId="240CF86E" w14:textId="77777777" w:rsidR="00944718" w:rsidRPr="00944718" w:rsidRDefault="00944718" w:rsidP="00944718">
      <w:pPr>
        <w:widowControl w:val="0"/>
        <w:numPr>
          <w:ilvl w:val="2"/>
          <w:numId w:val="2"/>
        </w:numPr>
        <w:tabs>
          <w:tab w:val="left" w:pos="815"/>
        </w:tabs>
        <w:autoSpaceDE w:val="0"/>
        <w:autoSpaceDN w:val="0"/>
        <w:spacing w:before="40" w:after="0" w:line="273" w:lineRule="auto"/>
        <w:ind w:right="108" w:firstLine="129"/>
        <w:jc w:val="both"/>
        <w:rPr>
          <w:rFonts w:eastAsia="Calibri" w:cstheme="minorHAnsi"/>
        </w:rPr>
      </w:pPr>
      <w:r w:rsidRPr="00944718">
        <w:rPr>
          <w:rFonts w:eastAsia="Calibri" w:cstheme="minorHAnsi"/>
          <w:b/>
          <w:bCs/>
        </w:rPr>
        <w:t>Les choix/non-choix d’orientation des élèves et des étudiants dans la région des Hauts-de France</w:t>
      </w:r>
      <w:r w:rsidRPr="00944718">
        <w:rPr>
          <w:rFonts w:eastAsia="Calibri" w:cstheme="minorHAnsi"/>
        </w:rPr>
        <w:t xml:space="preserve"> : qu’est-ce qui a structuré et structure les parcours des élèves sur la longue durée des XIXe-XXIe siècles et les décide à suivre telle ou telle scolarité, telle filière ? Quelle est la part des contraintes et des déterminismes sociaux, territoriaux, scolaires, de genre et quelle est la part de « libre choix » des familles et des élèves ? </w:t>
      </w:r>
    </w:p>
    <w:p w14:paraId="20A34DBC" w14:textId="77777777" w:rsidR="00944718" w:rsidRPr="00944718" w:rsidRDefault="00944718" w:rsidP="00944718">
      <w:pPr>
        <w:widowControl w:val="0"/>
        <w:numPr>
          <w:ilvl w:val="2"/>
          <w:numId w:val="2"/>
        </w:numPr>
        <w:tabs>
          <w:tab w:val="left" w:pos="815"/>
        </w:tabs>
        <w:autoSpaceDE w:val="0"/>
        <w:autoSpaceDN w:val="0"/>
        <w:spacing w:before="40" w:after="0" w:line="273" w:lineRule="auto"/>
        <w:ind w:right="108" w:firstLine="129"/>
        <w:jc w:val="both"/>
        <w:rPr>
          <w:rFonts w:eastAsia="Calibri" w:cstheme="minorHAnsi"/>
        </w:rPr>
      </w:pPr>
      <w:r w:rsidRPr="00944718">
        <w:rPr>
          <w:rFonts w:eastAsia="Calibri" w:cstheme="minorHAnsi"/>
          <w:b/>
          <w:bCs/>
        </w:rPr>
        <w:t>Les parcours scolaires et universitaires et les liens aux territoires en Haut-de-France</w:t>
      </w:r>
      <w:r w:rsidRPr="00944718">
        <w:rPr>
          <w:rFonts w:eastAsia="Calibri" w:cstheme="minorHAnsi"/>
        </w:rPr>
        <w:t xml:space="preserve"> : Ces choix ou non-choix scolaires sont fortement liés à l’offre scolaire que proposent nos différents territoires septentrionaux. Il s’agit ici d’analyser les parcours scolaires et universitaires au plus près des réalités géographiques, en tenant compte de la grande ruralité, de l’extrême urbanité, du critère des distances et des modalités de transport par exemple. </w:t>
      </w:r>
    </w:p>
    <w:p w14:paraId="33E9DA7F" w14:textId="77777777" w:rsidR="00944718" w:rsidRPr="00944718" w:rsidRDefault="00944718" w:rsidP="00944718">
      <w:pPr>
        <w:widowControl w:val="0"/>
        <w:numPr>
          <w:ilvl w:val="2"/>
          <w:numId w:val="2"/>
        </w:numPr>
        <w:tabs>
          <w:tab w:val="left" w:pos="815"/>
        </w:tabs>
        <w:autoSpaceDE w:val="0"/>
        <w:autoSpaceDN w:val="0"/>
        <w:spacing w:before="40" w:after="0" w:line="273" w:lineRule="auto"/>
        <w:ind w:right="108" w:firstLine="129"/>
        <w:jc w:val="both"/>
        <w:rPr>
          <w:rFonts w:eastAsia="Calibri" w:cstheme="minorHAnsi"/>
        </w:rPr>
      </w:pPr>
      <w:r w:rsidRPr="00944718">
        <w:rPr>
          <w:rFonts w:eastAsia="Calibri" w:cstheme="minorHAnsi"/>
          <w:b/>
          <w:bCs/>
        </w:rPr>
        <w:t>Les politiques scolaires et universitaires mises en œuvre pour remédier aux inégalités de parcours scolaires et universitaires</w:t>
      </w:r>
      <w:r w:rsidRPr="00944718">
        <w:rPr>
          <w:rFonts w:eastAsia="Calibri" w:cstheme="minorHAnsi"/>
        </w:rPr>
        <w:t xml:space="preserve">. Face au constat des inégalités plurielles maintenues, les pouvoirs publics ont lancé des politiques diverses de lutte contre ces inégalités qu’il faut observer dans leur déclinaison septentrionale. On peut penser ici à la politique d’éducation prioritaire qui marque fortement nos deux académies, mais aussi à des dispositifs mis en place plus localement par certaines collectivités locales, à la gestion également de la carte des établissements scolaires ou aux politiques d’aides et de soutien financier accordés aux familles. </w:t>
      </w:r>
    </w:p>
    <w:p w14:paraId="3F8771D2" w14:textId="57E8DD4B" w:rsidR="00944718" w:rsidRPr="00944718" w:rsidRDefault="00944718" w:rsidP="00944718">
      <w:pPr>
        <w:widowControl w:val="0"/>
        <w:numPr>
          <w:ilvl w:val="2"/>
          <w:numId w:val="2"/>
        </w:numPr>
        <w:tabs>
          <w:tab w:val="left" w:pos="815"/>
        </w:tabs>
        <w:autoSpaceDE w:val="0"/>
        <w:autoSpaceDN w:val="0"/>
        <w:spacing w:before="40" w:after="0" w:line="273" w:lineRule="auto"/>
        <w:ind w:right="108" w:firstLine="129"/>
        <w:jc w:val="both"/>
        <w:rPr>
          <w:rFonts w:eastAsia="Calibri" w:cstheme="minorHAnsi"/>
        </w:rPr>
      </w:pPr>
      <w:r w:rsidRPr="00944718">
        <w:rPr>
          <w:rFonts w:eastAsia="Calibri" w:cstheme="minorHAnsi"/>
          <w:b/>
          <w:bCs/>
        </w:rPr>
        <w:t>Les parcours en contextes des acteurs éducatifs des Hauts</w:t>
      </w:r>
      <w:r w:rsidRPr="00944718">
        <w:rPr>
          <w:rFonts w:eastAsia="Calibri" w:cstheme="minorHAnsi"/>
        </w:rPr>
        <w:t xml:space="preserve">-de-France. Si les élèves et les étudiants sont au cœur des analyses de cet axe 1, il faut aussi s’intéresser aux professionnels de l’éducation que sont les enseignants des différents niveaux, aux personnels d’éducation et d’encadrement (CPE, chefs d’établissement, etc.). Chez eux également existent des itinéraires de formation universitaire, des parcours professionnels, un lien souvent étroit aux territoires qui méritent d’être étudiés dans leurs complexité. </w:t>
      </w:r>
    </w:p>
    <w:p w14:paraId="0C4B5CCC" w14:textId="77777777" w:rsidR="0077099C" w:rsidRDefault="0077099C" w:rsidP="0077099C">
      <w:pPr>
        <w:pStyle w:val="Corpsdetexte"/>
        <w:spacing w:before="79"/>
      </w:pPr>
    </w:p>
    <w:p w14:paraId="4233A440" w14:textId="56915D9B" w:rsidR="0077099C" w:rsidRPr="009B793C" w:rsidRDefault="0077099C" w:rsidP="0077099C">
      <w:pPr>
        <w:spacing w:line="276" w:lineRule="auto"/>
        <w:ind w:left="252" w:right="112"/>
        <w:jc w:val="both"/>
        <w:rPr>
          <w:b/>
          <w:color w:val="1F4E79" w:themeColor="accent5" w:themeShade="80"/>
        </w:rPr>
      </w:pPr>
      <w:r w:rsidRPr="009B793C">
        <w:rPr>
          <w:b/>
          <w:color w:val="1F4E79" w:themeColor="accent5" w:themeShade="80"/>
        </w:rPr>
        <w:lastRenderedPageBreak/>
        <w:t>Axe 2 - Agir pour la réussite des élèves</w:t>
      </w:r>
      <w:r w:rsidRPr="009B793C">
        <w:rPr>
          <w:b/>
          <w:color w:val="1F4E79" w:themeColor="accent5" w:themeShade="80"/>
          <w:spacing w:val="-3"/>
        </w:rPr>
        <w:t xml:space="preserve"> </w:t>
      </w:r>
      <w:r w:rsidRPr="009B793C">
        <w:rPr>
          <w:b/>
          <w:color w:val="1F4E79" w:themeColor="accent5" w:themeShade="80"/>
        </w:rPr>
        <w:t>: apprendre et enseigner « dans et hors la classe » (approches didactiques, savoirs, apprentissages, innovations pédagogiques…)</w:t>
      </w:r>
      <w:r w:rsidR="003B2F4A">
        <w:rPr>
          <w:b/>
          <w:color w:val="1F4E79" w:themeColor="accent5" w:themeShade="80"/>
        </w:rPr>
        <w:t xml:space="preserve"> (pilote d’axe : Lucie MOUGENOT </w:t>
      </w:r>
      <w:hyperlink r:id="rId18" w:history="1">
        <w:r w:rsidR="003B2F4A" w:rsidRPr="00215636">
          <w:rPr>
            <w:rStyle w:val="Lienhypertexte"/>
            <w:b/>
          </w:rPr>
          <w:t>lucie.mougenot@u-picardie.fr</w:t>
        </w:r>
      </w:hyperlink>
      <w:r w:rsidR="003B2F4A">
        <w:rPr>
          <w:b/>
          <w:color w:val="1F4E79" w:themeColor="accent5" w:themeShade="80"/>
        </w:rPr>
        <w:t xml:space="preserve"> )</w:t>
      </w:r>
    </w:p>
    <w:p w14:paraId="5230F02F" w14:textId="77777777" w:rsidR="0077099C" w:rsidRDefault="0077099C" w:rsidP="0077099C">
      <w:pPr>
        <w:pStyle w:val="Corpsdetexte"/>
        <w:spacing w:before="40"/>
        <w:rPr>
          <w:b/>
        </w:rPr>
      </w:pPr>
    </w:p>
    <w:p w14:paraId="3A7B191C" w14:textId="77777777" w:rsidR="0077099C" w:rsidRDefault="0077099C" w:rsidP="0077099C">
      <w:pPr>
        <w:pStyle w:val="Corpsdetexte"/>
        <w:spacing w:line="276" w:lineRule="auto"/>
        <w:ind w:right="110"/>
        <w:jc w:val="both"/>
      </w:pPr>
      <w:r>
        <w:t>Les travaux opérés dans les différentes didactiques disciplinaires, en didactique générale, en sciences cognitives,</w:t>
      </w:r>
      <w:r>
        <w:rPr>
          <w:spacing w:val="-7"/>
        </w:rPr>
        <w:t xml:space="preserve"> </w:t>
      </w:r>
      <w:r>
        <w:t>etc.</w:t>
      </w:r>
      <w:r>
        <w:rPr>
          <w:spacing w:val="-7"/>
        </w:rPr>
        <w:t xml:space="preserve"> </w:t>
      </w:r>
      <w:r>
        <w:t>doivent</w:t>
      </w:r>
      <w:r>
        <w:rPr>
          <w:spacing w:val="-6"/>
        </w:rPr>
        <w:t xml:space="preserve"> </w:t>
      </w:r>
      <w:r>
        <w:t>permettre</w:t>
      </w:r>
      <w:r>
        <w:rPr>
          <w:spacing w:val="-6"/>
        </w:rPr>
        <w:t xml:space="preserve"> </w:t>
      </w:r>
      <w:r>
        <w:t>de</w:t>
      </w:r>
      <w:r>
        <w:rPr>
          <w:spacing w:val="-8"/>
        </w:rPr>
        <w:t xml:space="preserve"> </w:t>
      </w:r>
      <w:r>
        <w:t>mieux</w:t>
      </w:r>
      <w:r>
        <w:rPr>
          <w:spacing w:val="-6"/>
        </w:rPr>
        <w:t xml:space="preserve"> </w:t>
      </w:r>
      <w:r>
        <w:t>comprendre</w:t>
      </w:r>
      <w:r>
        <w:rPr>
          <w:spacing w:val="-6"/>
        </w:rPr>
        <w:t xml:space="preserve"> </w:t>
      </w:r>
      <w:r>
        <w:t>la</w:t>
      </w:r>
      <w:r>
        <w:rPr>
          <w:spacing w:val="-7"/>
        </w:rPr>
        <w:t xml:space="preserve"> </w:t>
      </w:r>
      <w:r>
        <w:t>manière</w:t>
      </w:r>
      <w:r>
        <w:rPr>
          <w:spacing w:val="-6"/>
        </w:rPr>
        <w:t xml:space="preserve"> </w:t>
      </w:r>
      <w:r>
        <w:t>dont</w:t>
      </w:r>
      <w:r>
        <w:rPr>
          <w:spacing w:val="-6"/>
        </w:rPr>
        <w:t xml:space="preserve"> </w:t>
      </w:r>
      <w:r>
        <w:t>les</w:t>
      </w:r>
      <w:r>
        <w:rPr>
          <w:spacing w:val="-7"/>
        </w:rPr>
        <w:t xml:space="preserve"> </w:t>
      </w:r>
      <w:r>
        <w:t>enseignants</w:t>
      </w:r>
      <w:r>
        <w:rPr>
          <w:spacing w:val="-7"/>
        </w:rPr>
        <w:t xml:space="preserve"> </w:t>
      </w:r>
      <w:r>
        <w:t>mettent</w:t>
      </w:r>
      <w:r>
        <w:rPr>
          <w:spacing w:val="-6"/>
        </w:rPr>
        <w:t xml:space="preserve"> </w:t>
      </w:r>
      <w:r>
        <w:t>en</w:t>
      </w:r>
      <w:r>
        <w:rPr>
          <w:spacing w:val="-7"/>
        </w:rPr>
        <w:t xml:space="preserve"> </w:t>
      </w:r>
      <w:r>
        <w:t>œuvre, dans</w:t>
      </w:r>
      <w:r>
        <w:rPr>
          <w:spacing w:val="-13"/>
        </w:rPr>
        <w:t xml:space="preserve"> </w:t>
      </w:r>
      <w:r>
        <w:t>la</w:t>
      </w:r>
      <w:r>
        <w:rPr>
          <w:spacing w:val="-12"/>
        </w:rPr>
        <w:t xml:space="preserve"> </w:t>
      </w:r>
      <w:r>
        <w:t>classe,</w:t>
      </w:r>
      <w:r>
        <w:rPr>
          <w:spacing w:val="-13"/>
        </w:rPr>
        <w:t xml:space="preserve"> </w:t>
      </w:r>
      <w:r>
        <w:t>les</w:t>
      </w:r>
      <w:r>
        <w:rPr>
          <w:spacing w:val="-12"/>
        </w:rPr>
        <w:t xml:space="preserve"> </w:t>
      </w:r>
      <w:r>
        <w:t>activités</w:t>
      </w:r>
      <w:r>
        <w:rPr>
          <w:spacing w:val="-13"/>
        </w:rPr>
        <w:t xml:space="preserve"> </w:t>
      </w:r>
      <w:r>
        <w:t>proposées</w:t>
      </w:r>
      <w:r>
        <w:rPr>
          <w:spacing w:val="-12"/>
        </w:rPr>
        <w:t xml:space="preserve"> </w:t>
      </w:r>
      <w:r>
        <w:t>en</w:t>
      </w:r>
      <w:r>
        <w:rPr>
          <w:spacing w:val="-13"/>
        </w:rPr>
        <w:t xml:space="preserve"> </w:t>
      </w:r>
      <w:r>
        <w:t>fonction</w:t>
      </w:r>
      <w:r>
        <w:rPr>
          <w:spacing w:val="-12"/>
        </w:rPr>
        <w:t xml:space="preserve"> </w:t>
      </w:r>
      <w:r>
        <w:t>des</w:t>
      </w:r>
      <w:r>
        <w:rPr>
          <w:spacing w:val="-12"/>
        </w:rPr>
        <w:t xml:space="preserve"> </w:t>
      </w:r>
      <w:r>
        <w:t>finalités</w:t>
      </w:r>
      <w:r>
        <w:rPr>
          <w:spacing w:val="-13"/>
        </w:rPr>
        <w:t xml:space="preserve"> </w:t>
      </w:r>
      <w:r>
        <w:t>visées</w:t>
      </w:r>
      <w:r>
        <w:rPr>
          <w:spacing w:val="-12"/>
        </w:rPr>
        <w:t xml:space="preserve"> </w:t>
      </w:r>
      <w:r>
        <w:t>mais</w:t>
      </w:r>
      <w:r>
        <w:rPr>
          <w:spacing w:val="-13"/>
        </w:rPr>
        <w:t xml:space="preserve"> </w:t>
      </w:r>
      <w:r>
        <w:t>aussi</w:t>
      </w:r>
      <w:r>
        <w:rPr>
          <w:spacing w:val="-12"/>
        </w:rPr>
        <w:t xml:space="preserve"> </w:t>
      </w:r>
      <w:r>
        <w:t>d’en</w:t>
      </w:r>
      <w:r>
        <w:rPr>
          <w:spacing w:val="-13"/>
        </w:rPr>
        <w:t xml:space="preserve"> </w:t>
      </w:r>
      <w:r>
        <w:t>savoir</w:t>
      </w:r>
      <w:r>
        <w:rPr>
          <w:spacing w:val="-12"/>
        </w:rPr>
        <w:t xml:space="preserve"> </w:t>
      </w:r>
      <w:r>
        <w:t>plus</w:t>
      </w:r>
      <w:r>
        <w:rPr>
          <w:spacing w:val="-12"/>
        </w:rPr>
        <w:t xml:space="preserve"> </w:t>
      </w:r>
      <w:r>
        <w:t>sur</w:t>
      </w:r>
      <w:r>
        <w:rPr>
          <w:spacing w:val="-13"/>
        </w:rPr>
        <w:t xml:space="preserve"> </w:t>
      </w:r>
      <w:r>
        <w:t>la</w:t>
      </w:r>
      <w:r>
        <w:rPr>
          <w:spacing w:val="-12"/>
        </w:rPr>
        <w:t xml:space="preserve"> </w:t>
      </w:r>
      <w:r>
        <w:t>manière dont</w:t>
      </w:r>
      <w:r>
        <w:rPr>
          <w:spacing w:val="-4"/>
        </w:rPr>
        <w:t xml:space="preserve"> </w:t>
      </w:r>
      <w:r>
        <w:t>les</w:t>
      </w:r>
      <w:r>
        <w:rPr>
          <w:spacing w:val="-7"/>
        </w:rPr>
        <w:t xml:space="preserve"> </w:t>
      </w:r>
      <w:r>
        <w:t>élèves</w:t>
      </w:r>
      <w:r>
        <w:rPr>
          <w:spacing w:val="-4"/>
        </w:rPr>
        <w:t xml:space="preserve"> </w:t>
      </w:r>
      <w:r>
        <w:t>s’approprient</w:t>
      </w:r>
      <w:r>
        <w:rPr>
          <w:spacing w:val="-4"/>
        </w:rPr>
        <w:t xml:space="preserve"> </w:t>
      </w:r>
      <w:r>
        <w:t>les</w:t>
      </w:r>
      <w:r>
        <w:rPr>
          <w:spacing w:val="-7"/>
        </w:rPr>
        <w:t xml:space="preserve"> </w:t>
      </w:r>
      <w:r>
        <w:t>activités</w:t>
      </w:r>
      <w:r>
        <w:rPr>
          <w:spacing w:val="-7"/>
        </w:rPr>
        <w:t xml:space="preserve"> </w:t>
      </w:r>
      <w:r>
        <w:t>proposées,</w:t>
      </w:r>
      <w:r>
        <w:rPr>
          <w:spacing w:val="-7"/>
        </w:rPr>
        <w:t xml:space="preserve"> </w:t>
      </w:r>
      <w:r>
        <w:t>les</w:t>
      </w:r>
      <w:r>
        <w:rPr>
          <w:spacing w:val="-7"/>
        </w:rPr>
        <w:t xml:space="preserve"> </w:t>
      </w:r>
      <w:r>
        <w:t>compétences</w:t>
      </w:r>
      <w:r>
        <w:rPr>
          <w:spacing w:val="-9"/>
        </w:rPr>
        <w:t xml:space="preserve"> </w:t>
      </w:r>
      <w:r>
        <w:t>visées</w:t>
      </w:r>
      <w:r>
        <w:rPr>
          <w:spacing w:val="-7"/>
        </w:rPr>
        <w:t xml:space="preserve"> </w:t>
      </w:r>
      <w:r>
        <w:t>et</w:t>
      </w:r>
      <w:r>
        <w:rPr>
          <w:spacing w:val="-6"/>
        </w:rPr>
        <w:t xml:space="preserve"> </w:t>
      </w:r>
      <w:r>
        <w:t>les</w:t>
      </w:r>
      <w:r>
        <w:rPr>
          <w:spacing w:val="-4"/>
        </w:rPr>
        <w:t xml:space="preserve"> </w:t>
      </w:r>
      <w:r>
        <w:t>savoirs</w:t>
      </w:r>
      <w:r>
        <w:rPr>
          <w:spacing w:val="-7"/>
        </w:rPr>
        <w:t xml:space="preserve"> </w:t>
      </w:r>
      <w:r>
        <w:t>scolaires</w:t>
      </w:r>
      <w:r>
        <w:rPr>
          <w:spacing w:val="-7"/>
        </w:rPr>
        <w:t xml:space="preserve"> </w:t>
      </w:r>
      <w:r>
        <w:t>selon</w:t>
      </w:r>
      <w:r>
        <w:rPr>
          <w:spacing w:val="-8"/>
        </w:rPr>
        <w:t xml:space="preserve"> </w:t>
      </w:r>
      <w:r>
        <w:t>les disciplines. C’est aussi analyser de manière très précise et en contexte les processus d’innovation pédagogique (notamment par l’intégration de l’IA ou la ludopédagogie), les éléments dynamisants mais aussi les freins qui sont à l’œuvre lorsque les enseignants ou les</w:t>
      </w:r>
      <w:r>
        <w:rPr>
          <w:spacing w:val="-7"/>
        </w:rPr>
        <w:t xml:space="preserve"> </w:t>
      </w:r>
      <w:r>
        <w:t>équipes</w:t>
      </w:r>
      <w:r>
        <w:rPr>
          <w:spacing w:val="-9"/>
        </w:rPr>
        <w:t xml:space="preserve"> </w:t>
      </w:r>
      <w:r>
        <w:t>enseignantes</w:t>
      </w:r>
      <w:r>
        <w:rPr>
          <w:spacing w:val="-9"/>
        </w:rPr>
        <w:t xml:space="preserve"> </w:t>
      </w:r>
      <w:r>
        <w:t>se</w:t>
      </w:r>
      <w:r>
        <w:rPr>
          <w:spacing w:val="-6"/>
        </w:rPr>
        <w:t xml:space="preserve"> </w:t>
      </w:r>
      <w:r>
        <w:t>lancent</w:t>
      </w:r>
      <w:r>
        <w:rPr>
          <w:spacing w:val="-6"/>
        </w:rPr>
        <w:t xml:space="preserve"> </w:t>
      </w:r>
      <w:r>
        <w:t>dans</w:t>
      </w:r>
      <w:r>
        <w:rPr>
          <w:spacing w:val="-9"/>
        </w:rPr>
        <w:t xml:space="preserve"> </w:t>
      </w:r>
      <w:r>
        <w:t>des</w:t>
      </w:r>
      <w:r>
        <w:rPr>
          <w:spacing w:val="-7"/>
        </w:rPr>
        <w:t xml:space="preserve"> </w:t>
      </w:r>
      <w:r>
        <w:t>pratiques</w:t>
      </w:r>
      <w:r>
        <w:rPr>
          <w:spacing w:val="-7"/>
        </w:rPr>
        <w:t xml:space="preserve"> </w:t>
      </w:r>
      <w:r>
        <w:t>pédagogiques</w:t>
      </w:r>
      <w:r>
        <w:rPr>
          <w:spacing w:val="-7"/>
        </w:rPr>
        <w:t xml:space="preserve"> </w:t>
      </w:r>
      <w:r>
        <w:t>innovantes</w:t>
      </w:r>
      <w:r>
        <w:rPr>
          <w:spacing w:val="-9"/>
        </w:rPr>
        <w:t xml:space="preserve"> </w:t>
      </w:r>
      <w:r>
        <w:t>au</w:t>
      </w:r>
      <w:r>
        <w:rPr>
          <w:spacing w:val="-7"/>
        </w:rPr>
        <w:t xml:space="preserve"> </w:t>
      </w:r>
      <w:r>
        <w:t>service</w:t>
      </w:r>
      <w:r>
        <w:rPr>
          <w:spacing w:val="-6"/>
        </w:rPr>
        <w:t xml:space="preserve"> </w:t>
      </w:r>
      <w:r>
        <w:t>de</w:t>
      </w:r>
      <w:r>
        <w:rPr>
          <w:spacing w:val="-6"/>
        </w:rPr>
        <w:t xml:space="preserve"> </w:t>
      </w:r>
      <w:r>
        <w:t>la</w:t>
      </w:r>
      <w:r>
        <w:rPr>
          <w:spacing w:val="-7"/>
        </w:rPr>
        <w:t xml:space="preserve"> </w:t>
      </w:r>
      <w:r>
        <w:t>réussite</w:t>
      </w:r>
      <w:r>
        <w:rPr>
          <w:spacing w:val="-6"/>
        </w:rPr>
        <w:t xml:space="preserve"> </w:t>
      </w:r>
      <w:r>
        <w:t>de tous les élèves. Toutes les disciplines qui, du primaire au secondaire, font partie des programmes scolaires sont</w:t>
      </w:r>
      <w:r>
        <w:rPr>
          <w:spacing w:val="-1"/>
        </w:rPr>
        <w:t xml:space="preserve"> </w:t>
      </w:r>
      <w:r>
        <w:t>concernées</w:t>
      </w:r>
      <w:r>
        <w:rPr>
          <w:spacing w:val="-2"/>
        </w:rPr>
        <w:t xml:space="preserve"> </w:t>
      </w:r>
      <w:r>
        <w:t>par</w:t>
      </w:r>
      <w:r>
        <w:rPr>
          <w:spacing w:val="-2"/>
        </w:rPr>
        <w:t xml:space="preserve"> </w:t>
      </w:r>
      <w:r>
        <w:t>ces</w:t>
      </w:r>
      <w:r>
        <w:rPr>
          <w:spacing w:val="-2"/>
        </w:rPr>
        <w:t xml:space="preserve"> </w:t>
      </w:r>
      <w:r>
        <w:t>recherches</w:t>
      </w:r>
      <w:r>
        <w:rPr>
          <w:spacing w:val="-2"/>
        </w:rPr>
        <w:t xml:space="preserve"> </w:t>
      </w:r>
      <w:r>
        <w:t>qui doivent</w:t>
      </w:r>
      <w:r>
        <w:rPr>
          <w:spacing w:val="-1"/>
        </w:rPr>
        <w:t xml:space="preserve"> </w:t>
      </w:r>
      <w:r>
        <w:t>permettre</w:t>
      </w:r>
      <w:r>
        <w:rPr>
          <w:spacing w:val="-1"/>
        </w:rPr>
        <w:t xml:space="preserve"> </w:t>
      </w:r>
      <w:r>
        <w:t>de</w:t>
      </w:r>
      <w:r>
        <w:rPr>
          <w:spacing w:val="-4"/>
        </w:rPr>
        <w:t xml:space="preserve"> </w:t>
      </w:r>
      <w:r>
        <w:t>mieux</w:t>
      </w:r>
      <w:r>
        <w:rPr>
          <w:spacing w:val="-1"/>
        </w:rPr>
        <w:t xml:space="preserve"> </w:t>
      </w:r>
      <w:r>
        <w:t>comprendre la</w:t>
      </w:r>
      <w:r>
        <w:rPr>
          <w:spacing w:val="-4"/>
        </w:rPr>
        <w:t xml:space="preserve"> </w:t>
      </w:r>
      <w:r>
        <w:t>manière</w:t>
      </w:r>
      <w:r>
        <w:rPr>
          <w:spacing w:val="-1"/>
        </w:rPr>
        <w:t xml:space="preserve"> </w:t>
      </w:r>
      <w:r>
        <w:t>dont</w:t>
      </w:r>
      <w:r>
        <w:rPr>
          <w:spacing w:val="-1"/>
        </w:rPr>
        <w:t xml:space="preserve"> </w:t>
      </w:r>
      <w:r>
        <w:t>les</w:t>
      </w:r>
      <w:r>
        <w:rPr>
          <w:spacing w:val="-2"/>
        </w:rPr>
        <w:t xml:space="preserve"> </w:t>
      </w:r>
      <w:r>
        <w:t>élèves s’approprient les disciplines, leurs savoirs et les compétences attendues. On devine aisément que l’INSPÉ Lille-HDF</w:t>
      </w:r>
      <w:r>
        <w:rPr>
          <w:spacing w:val="-10"/>
        </w:rPr>
        <w:t xml:space="preserve"> </w:t>
      </w:r>
      <w:r>
        <w:t>est</w:t>
      </w:r>
      <w:r>
        <w:rPr>
          <w:spacing w:val="-8"/>
        </w:rPr>
        <w:t xml:space="preserve"> </w:t>
      </w:r>
      <w:r>
        <w:t>ici</w:t>
      </w:r>
      <w:r>
        <w:rPr>
          <w:spacing w:val="-7"/>
        </w:rPr>
        <w:t xml:space="preserve"> </w:t>
      </w:r>
      <w:r>
        <w:t>demandeur</w:t>
      </w:r>
      <w:r>
        <w:rPr>
          <w:spacing w:val="-9"/>
        </w:rPr>
        <w:t xml:space="preserve"> </w:t>
      </w:r>
      <w:r>
        <w:t>de</w:t>
      </w:r>
      <w:r>
        <w:rPr>
          <w:spacing w:val="-6"/>
        </w:rPr>
        <w:t xml:space="preserve"> </w:t>
      </w:r>
      <w:r>
        <w:t>travaux</w:t>
      </w:r>
      <w:r>
        <w:rPr>
          <w:spacing w:val="-9"/>
        </w:rPr>
        <w:t xml:space="preserve"> </w:t>
      </w:r>
      <w:r>
        <w:t>importants</w:t>
      </w:r>
      <w:r>
        <w:rPr>
          <w:spacing w:val="-7"/>
        </w:rPr>
        <w:t xml:space="preserve"> </w:t>
      </w:r>
      <w:r>
        <w:t>qui</w:t>
      </w:r>
      <w:r>
        <w:rPr>
          <w:spacing w:val="-9"/>
        </w:rPr>
        <w:t xml:space="preserve"> </w:t>
      </w:r>
      <w:r>
        <w:t>pourront</w:t>
      </w:r>
      <w:r>
        <w:rPr>
          <w:spacing w:val="-9"/>
        </w:rPr>
        <w:t xml:space="preserve"> </w:t>
      </w:r>
      <w:r>
        <w:t>permettre</w:t>
      </w:r>
      <w:r>
        <w:rPr>
          <w:spacing w:val="-6"/>
        </w:rPr>
        <w:t xml:space="preserve"> </w:t>
      </w:r>
      <w:r>
        <w:t>d’améliorer</w:t>
      </w:r>
      <w:r>
        <w:rPr>
          <w:spacing w:val="-9"/>
        </w:rPr>
        <w:t xml:space="preserve"> </w:t>
      </w:r>
      <w:r>
        <w:t>ces</w:t>
      </w:r>
      <w:r>
        <w:rPr>
          <w:spacing w:val="-9"/>
        </w:rPr>
        <w:t xml:space="preserve"> </w:t>
      </w:r>
      <w:r>
        <w:t>différents</w:t>
      </w:r>
      <w:r>
        <w:rPr>
          <w:spacing w:val="-6"/>
        </w:rPr>
        <w:t xml:space="preserve"> </w:t>
      </w:r>
      <w:r>
        <w:t>aspects et de nourrir également la formation à la fois initiale et continue des personnels.</w:t>
      </w:r>
    </w:p>
    <w:p w14:paraId="1F7F1F71" w14:textId="77777777" w:rsidR="0077099C" w:rsidRDefault="0077099C" w:rsidP="0077099C">
      <w:pPr>
        <w:pStyle w:val="Corpsdetexte"/>
        <w:spacing w:line="267" w:lineRule="exact"/>
        <w:ind w:left="253"/>
        <w:jc w:val="both"/>
      </w:pPr>
      <w:r>
        <w:t>Quatre</w:t>
      </w:r>
      <w:r>
        <w:rPr>
          <w:spacing w:val="-3"/>
        </w:rPr>
        <w:t xml:space="preserve"> </w:t>
      </w:r>
      <w:r>
        <w:t>dimensions,</w:t>
      </w:r>
      <w:r>
        <w:rPr>
          <w:spacing w:val="-4"/>
        </w:rPr>
        <w:t xml:space="preserve"> </w:t>
      </w:r>
      <w:r>
        <w:t>sans</w:t>
      </w:r>
      <w:r>
        <w:rPr>
          <w:spacing w:val="-6"/>
        </w:rPr>
        <w:t xml:space="preserve"> </w:t>
      </w:r>
      <w:r>
        <w:t>en</w:t>
      </w:r>
      <w:r>
        <w:rPr>
          <w:spacing w:val="-5"/>
        </w:rPr>
        <w:t xml:space="preserve"> </w:t>
      </w:r>
      <w:r>
        <w:t>exclure</w:t>
      </w:r>
      <w:r>
        <w:rPr>
          <w:spacing w:val="-6"/>
        </w:rPr>
        <w:t xml:space="preserve"> </w:t>
      </w:r>
      <w:r>
        <w:t>d’autres,</w:t>
      </w:r>
      <w:r>
        <w:rPr>
          <w:spacing w:val="-6"/>
        </w:rPr>
        <w:t xml:space="preserve"> </w:t>
      </w:r>
      <w:r>
        <w:t>se</w:t>
      </w:r>
      <w:r>
        <w:rPr>
          <w:spacing w:val="-2"/>
        </w:rPr>
        <w:t xml:space="preserve"> </w:t>
      </w:r>
      <w:r>
        <w:t>dégagent</w:t>
      </w:r>
      <w:r>
        <w:rPr>
          <w:spacing w:val="-3"/>
        </w:rPr>
        <w:t xml:space="preserve"> </w:t>
      </w:r>
      <w:r>
        <w:rPr>
          <w:spacing w:val="-10"/>
        </w:rPr>
        <w:t>:</w:t>
      </w:r>
    </w:p>
    <w:p w14:paraId="6AE5E47A" w14:textId="77777777" w:rsidR="0077099C" w:rsidRPr="00245F08" w:rsidRDefault="0077099C" w:rsidP="0077099C">
      <w:pPr>
        <w:pStyle w:val="Paragraphedeliste"/>
        <w:numPr>
          <w:ilvl w:val="2"/>
          <w:numId w:val="2"/>
        </w:numPr>
        <w:tabs>
          <w:tab w:val="left" w:pos="815"/>
        </w:tabs>
        <w:spacing w:before="41"/>
        <w:ind w:left="815" w:hanging="191"/>
        <w:rPr>
          <w:sz w:val="20"/>
        </w:rPr>
      </w:pPr>
      <w:r w:rsidRPr="00245F08">
        <w:rPr>
          <w:sz w:val="20"/>
        </w:rPr>
        <w:t>Favoriser</w:t>
      </w:r>
      <w:r w:rsidRPr="00245F08">
        <w:rPr>
          <w:spacing w:val="-9"/>
          <w:sz w:val="20"/>
        </w:rPr>
        <w:t xml:space="preserve"> </w:t>
      </w:r>
      <w:r w:rsidRPr="00245F08">
        <w:rPr>
          <w:sz w:val="20"/>
        </w:rPr>
        <w:t>les</w:t>
      </w:r>
      <w:r w:rsidRPr="00245F08">
        <w:rPr>
          <w:spacing w:val="-7"/>
          <w:sz w:val="20"/>
        </w:rPr>
        <w:t xml:space="preserve"> </w:t>
      </w:r>
      <w:r w:rsidRPr="00245F08">
        <w:rPr>
          <w:sz w:val="20"/>
        </w:rPr>
        <w:t>apprentissages</w:t>
      </w:r>
      <w:r w:rsidRPr="00245F08">
        <w:rPr>
          <w:spacing w:val="-7"/>
          <w:sz w:val="20"/>
        </w:rPr>
        <w:t xml:space="preserve"> </w:t>
      </w:r>
      <w:r w:rsidRPr="00245F08">
        <w:rPr>
          <w:sz w:val="20"/>
        </w:rPr>
        <w:t>disciplinaires</w:t>
      </w:r>
      <w:r w:rsidRPr="00245F08">
        <w:rPr>
          <w:spacing w:val="-6"/>
          <w:sz w:val="20"/>
        </w:rPr>
        <w:t xml:space="preserve"> </w:t>
      </w:r>
      <w:r w:rsidRPr="00245F08">
        <w:rPr>
          <w:sz w:val="20"/>
        </w:rPr>
        <w:t>et</w:t>
      </w:r>
      <w:r w:rsidRPr="00245F08">
        <w:rPr>
          <w:spacing w:val="-6"/>
          <w:sz w:val="20"/>
        </w:rPr>
        <w:t xml:space="preserve"> </w:t>
      </w:r>
      <w:r w:rsidRPr="00245F08">
        <w:rPr>
          <w:sz w:val="20"/>
        </w:rPr>
        <w:t>transversaux</w:t>
      </w:r>
      <w:r w:rsidRPr="00245F08">
        <w:rPr>
          <w:spacing w:val="-6"/>
          <w:sz w:val="20"/>
        </w:rPr>
        <w:t xml:space="preserve"> </w:t>
      </w:r>
      <w:r w:rsidRPr="00245F08">
        <w:rPr>
          <w:sz w:val="20"/>
        </w:rPr>
        <w:t>des</w:t>
      </w:r>
      <w:r w:rsidRPr="00245F08">
        <w:rPr>
          <w:spacing w:val="-8"/>
          <w:sz w:val="20"/>
        </w:rPr>
        <w:t xml:space="preserve"> </w:t>
      </w:r>
      <w:r w:rsidRPr="00245F08">
        <w:rPr>
          <w:spacing w:val="-2"/>
          <w:sz w:val="20"/>
        </w:rPr>
        <w:t>élèves.</w:t>
      </w:r>
    </w:p>
    <w:p w14:paraId="107AFF87" w14:textId="77777777" w:rsidR="0077099C" w:rsidRPr="00245F08" w:rsidRDefault="0077099C" w:rsidP="0077099C">
      <w:pPr>
        <w:pStyle w:val="Paragraphedeliste"/>
        <w:numPr>
          <w:ilvl w:val="2"/>
          <w:numId w:val="2"/>
        </w:numPr>
        <w:tabs>
          <w:tab w:val="left" w:pos="637"/>
          <w:tab w:val="left" w:pos="815"/>
        </w:tabs>
        <w:spacing w:before="42" w:line="273" w:lineRule="auto"/>
        <w:ind w:left="637" w:right="110" w:hanging="13"/>
        <w:rPr>
          <w:sz w:val="20"/>
        </w:rPr>
      </w:pPr>
      <w:r w:rsidRPr="00245F08">
        <w:rPr>
          <w:sz w:val="20"/>
        </w:rPr>
        <w:t>Accompagner les transitions scolaires et veiller au continuum de formation de l’école maternelle au primaire, du primaire au collège, du collège au lycée et du lycée à l’université.</w:t>
      </w:r>
    </w:p>
    <w:p w14:paraId="59A9A466" w14:textId="77777777" w:rsidR="0077099C" w:rsidRPr="00245F08" w:rsidRDefault="0077099C" w:rsidP="0077099C">
      <w:pPr>
        <w:pStyle w:val="Paragraphedeliste"/>
        <w:numPr>
          <w:ilvl w:val="2"/>
          <w:numId w:val="2"/>
        </w:numPr>
        <w:tabs>
          <w:tab w:val="left" w:pos="816"/>
        </w:tabs>
        <w:spacing w:before="5"/>
        <w:ind w:left="816" w:hanging="191"/>
        <w:rPr>
          <w:sz w:val="20"/>
        </w:rPr>
      </w:pPr>
      <w:r w:rsidRPr="00245F08">
        <w:rPr>
          <w:sz w:val="20"/>
        </w:rPr>
        <w:t>Echecs</w:t>
      </w:r>
      <w:r w:rsidRPr="00245F08">
        <w:rPr>
          <w:spacing w:val="-6"/>
          <w:sz w:val="20"/>
        </w:rPr>
        <w:t xml:space="preserve"> </w:t>
      </w:r>
      <w:r w:rsidRPr="00245F08">
        <w:rPr>
          <w:sz w:val="20"/>
        </w:rPr>
        <w:t>scolaires,</w:t>
      </w:r>
      <w:r w:rsidRPr="00245F08">
        <w:rPr>
          <w:spacing w:val="-5"/>
          <w:sz w:val="20"/>
        </w:rPr>
        <w:t xml:space="preserve"> </w:t>
      </w:r>
      <w:r w:rsidRPr="00245F08">
        <w:rPr>
          <w:sz w:val="20"/>
        </w:rPr>
        <w:t>décrochage</w:t>
      </w:r>
      <w:r w:rsidRPr="00245F08">
        <w:rPr>
          <w:spacing w:val="-5"/>
          <w:sz w:val="20"/>
        </w:rPr>
        <w:t xml:space="preserve"> </w:t>
      </w:r>
      <w:r w:rsidRPr="00245F08">
        <w:rPr>
          <w:sz w:val="20"/>
        </w:rPr>
        <w:t>et</w:t>
      </w:r>
      <w:r w:rsidRPr="00245F08">
        <w:rPr>
          <w:spacing w:val="-7"/>
          <w:sz w:val="20"/>
        </w:rPr>
        <w:t xml:space="preserve"> </w:t>
      </w:r>
      <w:r w:rsidRPr="00245F08">
        <w:rPr>
          <w:sz w:val="20"/>
        </w:rPr>
        <w:t>raccrochage</w:t>
      </w:r>
      <w:r w:rsidRPr="00245F08">
        <w:rPr>
          <w:spacing w:val="-7"/>
          <w:sz w:val="20"/>
        </w:rPr>
        <w:t xml:space="preserve"> </w:t>
      </w:r>
      <w:r w:rsidRPr="00245F08">
        <w:rPr>
          <w:spacing w:val="-2"/>
          <w:sz w:val="20"/>
        </w:rPr>
        <w:t>scolaires.</w:t>
      </w:r>
    </w:p>
    <w:p w14:paraId="5C14CC66" w14:textId="77777777" w:rsidR="0077099C" w:rsidRPr="00245F08" w:rsidRDefault="0077099C" w:rsidP="0077099C">
      <w:pPr>
        <w:pStyle w:val="Paragraphedeliste"/>
        <w:numPr>
          <w:ilvl w:val="2"/>
          <w:numId w:val="2"/>
        </w:numPr>
        <w:tabs>
          <w:tab w:val="left" w:pos="816"/>
        </w:tabs>
        <w:spacing w:before="39"/>
        <w:ind w:left="816" w:hanging="191"/>
        <w:rPr>
          <w:sz w:val="20"/>
        </w:rPr>
      </w:pPr>
      <w:r w:rsidRPr="00245F08">
        <w:rPr>
          <w:sz w:val="20"/>
        </w:rPr>
        <w:t>Les</w:t>
      </w:r>
      <w:r w:rsidRPr="00245F08">
        <w:rPr>
          <w:spacing w:val="-4"/>
          <w:sz w:val="20"/>
        </w:rPr>
        <w:t xml:space="preserve"> </w:t>
      </w:r>
      <w:r w:rsidRPr="00245F08">
        <w:rPr>
          <w:sz w:val="20"/>
        </w:rPr>
        <w:t>apprentissages</w:t>
      </w:r>
      <w:r w:rsidRPr="00245F08">
        <w:rPr>
          <w:spacing w:val="-5"/>
          <w:sz w:val="20"/>
        </w:rPr>
        <w:t xml:space="preserve"> </w:t>
      </w:r>
      <w:r w:rsidRPr="00245F08">
        <w:rPr>
          <w:sz w:val="20"/>
        </w:rPr>
        <w:t>hors</w:t>
      </w:r>
      <w:r w:rsidRPr="00245F08">
        <w:rPr>
          <w:spacing w:val="-5"/>
          <w:sz w:val="20"/>
        </w:rPr>
        <w:t xml:space="preserve"> </w:t>
      </w:r>
      <w:r w:rsidRPr="00245F08">
        <w:rPr>
          <w:sz w:val="20"/>
        </w:rPr>
        <w:t>la</w:t>
      </w:r>
      <w:r w:rsidRPr="00245F08">
        <w:rPr>
          <w:spacing w:val="-5"/>
          <w:sz w:val="20"/>
        </w:rPr>
        <w:t xml:space="preserve"> </w:t>
      </w:r>
      <w:r w:rsidRPr="00245F08">
        <w:rPr>
          <w:spacing w:val="-2"/>
          <w:sz w:val="20"/>
        </w:rPr>
        <w:t>classe.</w:t>
      </w:r>
    </w:p>
    <w:p w14:paraId="24F23BC0" w14:textId="77777777" w:rsidR="0077099C" w:rsidRDefault="0077099C" w:rsidP="0077099C">
      <w:pPr>
        <w:pStyle w:val="Corpsdetexte"/>
        <w:spacing w:before="81"/>
      </w:pPr>
    </w:p>
    <w:p w14:paraId="7BEAEE4B" w14:textId="69B62BB3" w:rsidR="0077099C" w:rsidRPr="009B793C" w:rsidRDefault="0077099C" w:rsidP="0077099C">
      <w:pPr>
        <w:spacing w:before="1"/>
        <w:ind w:left="253"/>
        <w:jc w:val="both"/>
        <w:rPr>
          <w:b/>
          <w:color w:val="1F4E79" w:themeColor="accent5" w:themeShade="80"/>
        </w:rPr>
      </w:pPr>
      <w:r w:rsidRPr="009B793C">
        <w:rPr>
          <w:b/>
          <w:color w:val="1F4E79" w:themeColor="accent5" w:themeShade="80"/>
        </w:rPr>
        <w:t>Axe</w:t>
      </w:r>
      <w:r w:rsidRPr="009B793C">
        <w:rPr>
          <w:b/>
          <w:color w:val="1F4E79" w:themeColor="accent5" w:themeShade="80"/>
          <w:spacing w:val="-5"/>
        </w:rPr>
        <w:t xml:space="preserve"> </w:t>
      </w:r>
      <w:r w:rsidRPr="009B793C">
        <w:rPr>
          <w:b/>
          <w:color w:val="1F4E79" w:themeColor="accent5" w:themeShade="80"/>
        </w:rPr>
        <w:t>3</w:t>
      </w:r>
      <w:r w:rsidRPr="009B793C">
        <w:rPr>
          <w:b/>
          <w:color w:val="1F4E79" w:themeColor="accent5" w:themeShade="80"/>
          <w:spacing w:val="-5"/>
        </w:rPr>
        <w:t xml:space="preserve"> </w:t>
      </w:r>
      <w:r w:rsidRPr="009B793C">
        <w:rPr>
          <w:b/>
          <w:color w:val="1F4E79" w:themeColor="accent5" w:themeShade="80"/>
        </w:rPr>
        <w:t>–</w:t>
      </w:r>
      <w:r w:rsidRPr="009B793C">
        <w:rPr>
          <w:b/>
          <w:color w:val="1F4E79" w:themeColor="accent5" w:themeShade="80"/>
          <w:spacing w:val="-3"/>
        </w:rPr>
        <w:t xml:space="preserve"> </w:t>
      </w:r>
      <w:r w:rsidRPr="009B793C">
        <w:rPr>
          <w:b/>
          <w:color w:val="1F4E79" w:themeColor="accent5" w:themeShade="80"/>
        </w:rPr>
        <w:t>Inclure</w:t>
      </w:r>
      <w:r w:rsidRPr="009B793C">
        <w:rPr>
          <w:b/>
          <w:color w:val="1F4E79" w:themeColor="accent5" w:themeShade="80"/>
          <w:spacing w:val="-5"/>
        </w:rPr>
        <w:t xml:space="preserve"> </w:t>
      </w:r>
      <w:r w:rsidRPr="009B793C">
        <w:rPr>
          <w:b/>
          <w:color w:val="1F4E79" w:themeColor="accent5" w:themeShade="80"/>
        </w:rPr>
        <w:t>socialement</w:t>
      </w:r>
      <w:r w:rsidRPr="009B793C">
        <w:rPr>
          <w:b/>
          <w:color w:val="1F4E79" w:themeColor="accent5" w:themeShade="80"/>
          <w:spacing w:val="-3"/>
        </w:rPr>
        <w:t xml:space="preserve"> </w:t>
      </w:r>
      <w:r w:rsidRPr="009B793C">
        <w:rPr>
          <w:b/>
          <w:color w:val="1F4E79" w:themeColor="accent5" w:themeShade="80"/>
        </w:rPr>
        <w:t>et</w:t>
      </w:r>
      <w:r w:rsidRPr="009B793C">
        <w:rPr>
          <w:b/>
          <w:color w:val="1F4E79" w:themeColor="accent5" w:themeShade="80"/>
          <w:spacing w:val="-4"/>
        </w:rPr>
        <w:t xml:space="preserve"> </w:t>
      </w:r>
      <w:r w:rsidRPr="009B793C">
        <w:rPr>
          <w:b/>
          <w:color w:val="1F4E79" w:themeColor="accent5" w:themeShade="80"/>
        </w:rPr>
        <w:t>scolairement</w:t>
      </w:r>
      <w:r w:rsidRPr="009B793C">
        <w:rPr>
          <w:b/>
          <w:color w:val="1F4E79" w:themeColor="accent5" w:themeShade="80"/>
          <w:spacing w:val="-6"/>
        </w:rPr>
        <w:t xml:space="preserve"> </w:t>
      </w:r>
      <w:r w:rsidRPr="009B793C">
        <w:rPr>
          <w:b/>
          <w:color w:val="1F4E79" w:themeColor="accent5" w:themeShade="80"/>
        </w:rPr>
        <w:t>les</w:t>
      </w:r>
      <w:r w:rsidRPr="009B793C">
        <w:rPr>
          <w:b/>
          <w:color w:val="1F4E79" w:themeColor="accent5" w:themeShade="80"/>
          <w:spacing w:val="-3"/>
        </w:rPr>
        <w:t xml:space="preserve"> </w:t>
      </w:r>
      <w:r w:rsidRPr="009B793C">
        <w:rPr>
          <w:b/>
          <w:color w:val="1F4E79" w:themeColor="accent5" w:themeShade="80"/>
        </w:rPr>
        <w:t>élèves</w:t>
      </w:r>
      <w:r w:rsidRPr="009B793C">
        <w:rPr>
          <w:b/>
          <w:color w:val="1F4E79" w:themeColor="accent5" w:themeShade="80"/>
          <w:spacing w:val="-2"/>
        </w:rPr>
        <w:t xml:space="preserve"> </w:t>
      </w:r>
      <w:r w:rsidRPr="009B793C">
        <w:rPr>
          <w:b/>
          <w:color w:val="1F4E79" w:themeColor="accent5" w:themeShade="80"/>
        </w:rPr>
        <w:t>à</w:t>
      </w:r>
      <w:r w:rsidRPr="009B793C">
        <w:rPr>
          <w:b/>
          <w:color w:val="1F4E79" w:themeColor="accent5" w:themeShade="80"/>
          <w:spacing w:val="-5"/>
        </w:rPr>
        <w:t xml:space="preserve"> </w:t>
      </w:r>
      <w:r w:rsidRPr="009B793C">
        <w:rPr>
          <w:b/>
          <w:color w:val="1F4E79" w:themeColor="accent5" w:themeShade="80"/>
        </w:rPr>
        <w:t>besoins</w:t>
      </w:r>
      <w:r w:rsidRPr="009B793C">
        <w:rPr>
          <w:b/>
          <w:color w:val="1F4E79" w:themeColor="accent5" w:themeShade="80"/>
          <w:spacing w:val="-6"/>
        </w:rPr>
        <w:t xml:space="preserve"> </w:t>
      </w:r>
      <w:r w:rsidRPr="009B793C">
        <w:rPr>
          <w:b/>
          <w:color w:val="1F4E79" w:themeColor="accent5" w:themeShade="80"/>
        </w:rPr>
        <w:t>éducatifs</w:t>
      </w:r>
      <w:r w:rsidRPr="009B793C">
        <w:rPr>
          <w:b/>
          <w:color w:val="1F4E79" w:themeColor="accent5" w:themeShade="80"/>
          <w:spacing w:val="-5"/>
        </w:rPr>
        <w:t xml:space="preserve"> </w:t>
      </w:r>
      <w:r w:rsidRPr="009B793C">
        <w:rPr>
          <w:b/>
          <w:color w:val="1F4E79" w:themeColor="accent5" w:themeShade="80"/>
          <w:spacing w:val="-2"/>
        </w:rPr>
        <w:t>particuliers</w:t>
      </w:r>
      <w:r w:rsidR="003B2F4A">
        <w:rPr>
          <w:b/>
          <w:color w:val="1F4E79" w:themeColor="accent5" w:themeShade="80"/>
          <w:spacing w:val="-2"/>
        </w:rPr>
        <w:t xml:space="preserve"> (pilote d’Axe : Caroline DESOMBRE </w:t>
      </w:r>
      <w:hyperlink r:id="rId19" w:history="1">
        <w:r w:rsidR="003B2F4A" w:rsidRPr="00215636">
          <w:rPr>
            <w:rStyle w:val="Lienhypertexte"/>
            <w:b/>
            <w:spacing w:val="-2"/>
          </w:rPr>
          <w:t>caroline.desombre@univ-lille.fr</w:t>
        </w:r>
      </w:hyperlink>
      <w:r w:rsidR="003B2F4A">
        <w:rPr>
          <w:b/>
          <w:color w:val="1F4E79" w:themeColor="accent5" w:themeShade="80"/>
          <w:spacing w:val="-2"/>
        </w:rPr>
        <w:t xml:space="preserve"> )</w:t>
      </w:r>
    </w:p>
    <w:p w14:paraId="7EC4A043" w14:textId="77777777" w:rsidR="0077099C" w:rsidRDefault="0077099C" w:rsidP="0077099C">
      <w:pPr>
        <w:pStyle w:val="Corpsdetexte"/>
        <w:spacing w:before="50"/>
        <w:rPr>
          <w:b/>
        </w:rPr>
      </w:pPr>
    </w:p>
    <w:p w14:paraId="7227551A" w14:textId="53BF4CE3" w:rsidR="00D96961" w:rsidRDefault="0077099C" w:rsidP="003916B0">
      <w:pPr>
        <w:pStyle w:val="Corpsdetexte"/>
        <w:spacing w:before="1" w:line="276" w:lineRule="auto"/>
        <w:ind w:right="108"/>
        <w:jc w:val="both"/>
      </w:pPr>
      <w:r>
        <w:t>Selon l'Organisation de Coopération et de Développement Économiques (OCDE, 1996), les élèves à besoins éducatifs</w:t>
      </w:r>
      <w:r>
        <w:rPr>
          <w:spacing w:val="-4"/>
        </w:rPr>
        <w:t xml:space="preserve"> </w:t>
      </w:r>
      <w:r>
        <w:t>particuliers</w:t>
      </w:r>
      <w:r>
        <w:rPr>
          <w:spacing w:val="-4"/>
        </w:rPr>
        <w:t xml:space="preserve"> </w:t>
      </w:r>
      <w:r>
        <w:t>regroupent</w:t>
      </w:r>
      <w:r>
        <w:rPr>
          <w:spacing w:val="-4"/>
        </w:rPr>
        <w:t xml:space="preserve"> </w:t>
      </w:r>
      <w:r>
        <w:t>«</w:t>
      </w:r>
      <w:r>
        <w:rPr>
          <w:spacing w:val="-2"/>
        </w:rPr>
        <w:t xml:space="preserve"> </w:t>
      </w:r>
      <w:r>
        <w:t>une</w:t>
      </w:r>
      <w:r>
        <w:rPr>
          <w:spacing w:val="-4"/>
        </w:rPr>
        <w:t xml:space="preserve"> </w:t>
      </w:r>
      <w:r>
        <w:t>grande</w:t>
      </w:r>
      <w:r>
        <w:rPr>
          <w:spacing w:val="-4"/>
        </w:rPr>
        <w:t xml:space="preserve"> </w:t>
      </w:r>
      <w:r>
        <w:t>variété</w:t>
      </w:r>
      <w:r>
        <w:rPr>
          <w:spacing w:val="-6"/>
        </w:rPr>
        <w:t xml:space="preserve"> </w:t>
      </w:r>
      <w:r>
        <w:t>d’élèves</w:t>
      </w:r>
      <w:r>
        <w:rPr>
          <w:spacing w:val="-4"/>
        </w:rPr>
        <w:t xml:space="preserve"> </w:t>
      </w:r>
      <w:r>
        <w:t>qui</w:t>
      </w:r>
      <w:r>
        <w:rPr>
          <w:spacing w:val="-5"/>
        </w:rPr>
        <w:t xml:space="preserve"> </w:t>
      </w:r>
      <w:r>
        <w:t>ont,</w:t>
      </w:r>
      <w:r>
        <w:rPr>
          <w:spacing w:val="-4"/>
        </w:rPr>
        <w:t xml:space="preserve"> </w:t>
      </w:r>
      <w:r>
        <w:t>de</w:t>
      </w:r>
      <w:r>
        <w:rPr>
          <w:spacing w:val="-6"/>
        </w:rPr>
        <w:t xml:space="preserve"> </w:t>
      </w:r>
      <w:r>
        <w:t>manière</w:t>
      </w:r>
      <w:r>
        <w:rPr>
          <w:spacing w:val="-4"/>
        </w:rPr>
        <w:t xml:space="preserve"> </w:t>
      </w:r>
      <w:r>
        <w:t>significative,</w:t>
      </w:r>
      <w:r>
        <w:rPr>
          <w:spacing w:val="-4"/>
        </w:rPr>
        <w:t xml:space="preserve"> </w:t>
      </w:r>
      <w:r>
        <w:t>plus</w:t>
      </w:r>
      <w:r>
        <w:rPr>
          <w:spacing w:val="-4"/>
        </w:rPr>
        <w:t xml:space="preserve"> </w:t>
      </w:r>
      <w:r>
        <w:t>de</w:t>
      </w:r>
      <w:r>
        <w:rPr>
          <w:spacing w:val="-4"/>
        </w:rPr>
        <w:t xml:space="preserve"> </w:t>
      </w:r>
      <w:r>
        <w:t>mal à</w:t>
      </w:r>
      <w:r>
        <w:rPr>
          <w:spacing w:val="-7"/>
        </w:rPr>
        <w:t xml:space="preserve"> </w:t>
      </w:r>
      <w:r>
        <w:t>apprendre</w:t>
      </w:r>
      <w:r>
        <w:rPr>
          <w:spacing w:val="-6"/>
        </w:rPr>
        <w:t xml:space="preserve"> </w:t>
      </w:r>
      <w:r>
        <w:t>que</w:t>
      </w:r>
      <w:r>
        <w:rPr>
          <w:spacing w:val="-8"/>
        </w:rPr>
        <w:t xml:space="preserve"> </w:t>
      </w:r>
      <w:r>
        <w:t>la</w:t>
      </w:r>
      <w:r>
        <w:rPr>
          <w:spacing w:val="-9"/>
        </w:rPr>
        <w:t xml:space="preserve"> </w:t>
      </w:r>
      <w:r>
        <w:t>majorité</w:t>
      </w:r>
      <w:r>
        <w:rPr>
          <w:spacing w:val="-6"/>
        </w:rPr>
        <w:t xml:space="preserve"> </w:t>
      </w:r>
      <w:r>
        <w:t>des</w:t>
      </w:r>
      <w:r>
        <w:rPr>
          <w:spacing w:val="-9"/>
        </w:rPr>
        <w:t xml:space="preserve"> </w:t>
      </w:r>
      <w:r>
        <w:t>enfants</w:t>
      </w:r>
      <w:r>
        <w:rPr>
          <w:spacing w:val="-7"/>
        </w:rPr>
        <w:t xml:space="preserve"> </w:t>
      </w:r>
      <w:r>
        <w:t>du</w:t>
      </w:r>
      <w:r>
        <w:rPr>
          <w:spacing w:val="-10"/>
        </w:rPr>
        <w:t xml:space="preserve"> </w:t>
      </w:r>
      <w:r>
        <w:t>même</w:t>
      </w:r>
      <w:r>
        <w:rPr>
          <w:spacing w:val="-6"/>
        </w:rPr>
        <w:t xml:space="preserve"> </w:t>
      </w:r>
      <w:r>
        <w:t>âge</w:t>
      </w:r>
      <w:r>
        <w:rPr>
          <w:spacing w:val="-8"/>
        </w:rPr>
        <w:t xml:space="preserve"> </w:t>
      </w:r>
      <w:r>
        <w:t>quand</w:t>
      </w:r>
      <w:r>
        <w:rPr>
          <w:spacing w:val="-7"/>
        </w:rPr>
        <w:t xml:space="preserve"> </w:t>
      </w:r>
      <w:r>
        <w:t>ils</w:t>
      </w:r>
      <w:r>
        <w:rPr>
          <w:spacing w:val="-7"/>
        </w:rPr>
        <w:t xml:space="preserve"> </w:t>
      </w:r>
      <w:r>
        <w:t>sont</w:t>
      </w:r>
      <w:r>
        <w:rPr>
          <w:spacing w:val="-6"/>
        </w:rPr>
        <w:t xml:space="preserve"> </w:t>
      </w:r>
      <w:r>
        <w:t>dans</w:t>
      </w:r>
      <w:r>
        <w:rPr>
          <w:spacing w:val="-7"/>
        </w:rPr>
        <w:t xml:space="preserve"> </w:t>
      </w:r>
      <w:r>
        <w:t>une</w:t>
      </w:r>
      <w:r>
        <w:rPr>
          <w:spacing w:val="-8"/>
        </w:rPr>
        <w:t xml:space="preserve"> </w:t>
      </w:r>
      <w:r>
        <w:t>situation</w:t>
      </w:r>
      <w:r>
        <w:rPr>
          <w:spacing w:val="-7"/>
        </w:rPr>
        <w:t xml:space="preserve"> </w:t>
      </w:r>
      <w:r>
        <w:t>particulière</w:t>
      </w:r>
      <w:r>
        <w:rPr>
          <w:spacing w:val="-8"/>
        </w:rPr>
        <w:t xml:space="preserve"> </w:t>
      </w:r>
      <w:r>
        <w:t>ou</w:t>
      </w:r>
      <w:r>
        <w:rPr>
          <w:spacing w:val="-7"/>
        </w:rPr>
        <w:t xml:space="preserve"> </w:t>
      </w:r>
      <w:r>
        <w:t>qu’ils souffrent d’un handicap qui les empêche ou les gêne dans leurs apprentissages. Cette notion permet d'impulser</w:t>
      </w:r>
      <w:r>
        <w:rPr>
          <w:spacing w:val="-4"/>
        </w:rPr>
        <w:t xml:space="preserve"> </w:t>
      </w:r>
      <w:r>
        <w:t>l'idée</w:t>
      </w:r>
      <w:r>
        <w:rPr>
          <w:spacing w:val="-4"/>
        </w:rPr>
        <w:t xml:space="preserve"> </w:t>
      </w:r>
      <w:r>
        <w:t>que</w:t>
      </w:r>
      <w:r>
        <w:rPr>
          <w:spacing w:val="-6"/>
        </w:rPr>
        <w:t xml:space="preserve"> </w:t>
      </w:r>
      <w:r>
        <w:t>les</w:t>
      </w:r>
      <w:r>
        <w:rPr>
          <w:spacing w:val="-6"/>
        </w:rPr>
        <w:t xml:space="preserve"> </w:t>
      </w:r>
      <w:r>
        <w:t>enseignants</w:t>
      </w:r>
      <w:r>
        <w:rPr>
          <w:spacing w:val="-4"/>
        </w:rPr>
        <w:t xml:space="preserve"> </w:t>
      </w:r>
      <w:r>
        <w:t>doivent</w:t>
      </w:r>
      <w:r>
        <w:rPr>
          <w:spacing w:val="-6"/>
        </w:rPr>
        <w:t xml:space="preserve"> </w:t>
      </w:r>
      <w:r>
        <w:t>proposer</w:t>
      </w:r>
      <w:r>
        <w:rPr>
          <w:spacing w:val="-6"/>
        </w:rPr>
        <w:t xml:space="preserve"> </w:t>
      </w:r>
      <w:r>
        <w:t>à</w:t>
      </w:r>
      <w:r>
        <w:rPr>
          <w:spacing w:val="-4"/>
        </w:rPr>
        <w:t xml:space="preserve"> </w:t>
      </w:r>
      <w:r>
        <w:t>tous</w:t>
      </w:r>
      <w:r>
        <w:rPr>
          <w:spacing w:val="-4"/>
        </w:rPr>
        <w:t xml:space="preserve"> </w:t>
      </w:r>
      <w:r>
        <w:t>les</w:t>
      </w:r>
      <w:r>
        <w:rPr>
          <w:spacing w:val="-6"/>
        </w:rPr>
        <w:t xml:space="preserve"> </w:t>
      </w:r>
      <w:r>
        <w:t>élèves,</w:t>
      </w:r>
      <w:r>
        <w:rPr>
          <w:spacing w:val="-7"/>
        </w:rPr>
        <w:t xml:space="preserve"> </w:t>
      </w:r>
      <w:r>
        <w:t>même</w:t>
      </w:r>
      <w:r>
        <w:rPr>
          <w:spacing w:val="-6"/>
        </w:rPr>
        <w:t xml:space="preserve"> </w:t>
      </w:r>
      <w:r>
        <w:t>ceux</w:t>
      </w:r>
      <w:r>
        <w:rPr>
          <w:spacing w:val="-4"/>
        </w:rPr>
        <w:t xml:space="preserve"> </w:t>
      </w:r>
      <w:r>
        <w:t>présentant</w:t>
      </w:r>
      <w:r>
        <w:rPr>
          <w:spacing w:val="-4"/>
        </w:rPr>
        <w:t xml:space="preserve"> </w:t>
      </w:r>
      <w:r>
        <w:t>un</w:t>
      </w:r>
      <w:r>
        <w:rPr>
          <w:spacing w:val="-5"/>
        </w:rPr>
        <w:t xml:space="preserve"> </w:t>
      </w:r>
      <w:r>
        <w:t>décalage important à la norme scolaire (et/ou une situation de handicap), un enseignement ambitieux (aujourd’hui référé</w:t>
      </w:r>
      <w:r>
        <w:rPr>
          <w:spacing w:val="-5"/>
        </w:rPr>
        <w:t xml:space="preserve"> </w:t>
      </w:r>
      <w:r>
        <w:t>au</w:t>
      </w:r>
      <w:r>
        <w:rPr>
          <w:spacing w:val="-4"/>
        </w:rPr>
        <w:t xml:space="preserve"> </w:t>
      </w:r>
      <w:r>
        <w:t>Socle</w:t>
      </w:r>
      <w:r>
        <w:rPr>
          <w:spacing w:val="-5"/>
        </w:rPr>
        <w:t xml:space="preserve"> </w:t>
      </w:r>
      <w:r>
        <w:t>commun</w:t>
      </w:r>
      <w:r>
        <w:rPr>
          <w:spacing w:val="-7"/>
        </w:rPr>
        <w:t xml:space="preserve"> </w:t>
      </w:r>
      <w:r>
        <w:t>des</w:t>
      </w:r>
      <w:r>
        <w:rPr>
          <w:spacing w:val="-4"/>
        </w:rPr>
        <w:t xml:space="preserve"> </w:t>
      </w:r>
      <w:r>
        <w:t>compétences)</w:t>
      </w:r>
      <w:r>
        <w:rPr>
          <w:spacing w:val="-5"/>
        </w:rPr>
        <w:t xml:space="preserve"> </w:t>
      </w:r>
      <w:r>
        <w:t>en</w:t>
      </w:r>
      <w:r>
        <w:rPr>
          <w:spacing w:val="-4"/>
        </w:rPr>
        <w:t xml:space="preserve"> </w:t>
      </w:r>
      <w:r>
        <w:t>les</w:t>
      </w:r>
      <w:r>
        <w:rPr>
          <w:spacing w:val="-4"/>
        </w:rPr>
        <w:t xml:space="preserve"> </w:t>
      </w:r>
      <w:r>
        <w:t>amenant</w:t>
      </w:r>
      <w:r>
        <w:rPr>
          <w:spacing w:val="-4"/>
        </w:rPr>
        <w:t xml:space="preserve"> </w:t>
      </w:r>
      <w:r>
        <w:t>à</w:t>
      </w:r>
      <w:r>
        <w:rPr>
          <w:spacing w:val="-4"/>
        </w:rPr>
        <w:t xml:space="preserve"> </w:t>
      </w:r>
      <w:r>
        <w:t>se</w:t>
      </w:r>
      <w:r>
        <w:rPr>
          <w:spacing w:val="-5"/>
        </w:rPr>
        <w:t xml:space="preserve"> </w:t>
      </w:r>
      <w:r>
        <w:t>centrer</w:t>
      </w:r>
      <w:r>
        <w:rPr>
          <w:spacing w:val="-6"/>
        </w:rPr>
        <w:t xml:space="preserve"> </w:t>
      </w:r>
      <w:r>
        <w:t>non</w:t>
      </w:r>
      <w:r>
        <w:rPr>
          <w:spacing w:val="-4"/>
        </w:rPr>
        <w:t xml:space="preserve"> </w:t>
      </w:r>
      <w:r>
        <w:t>pas</w:t>
      </w:r>
      <w:r>
        <w:rPr>
          <w:spacing w:val="-6"/>
        </w:rPr>
        <w:t xml:space="preserve"> </w:t>
      </w:r>
      <w:r>
        <w:t>sur</w:t>
      </w:r>
      <w:r>
        <w:rPr>
          <w:spacing w:val="-4"/>
        </w:rPr>
        <w:t xml:space="preserve"> </w:t>
      </w:r>
      <w:r>
        <w:t>les</w:t>
      </w:r>
      <w:r>
        <w:rPr>
          <w:spacing w:val="-6"/>
        </w:rPr>
        <w:t xml:space="preserve"> </w:t>
      </w:r>
      <w:r>
        <w:t>causes</w:t>
      </w:r>
      <w:r>
        <w:rPr>
          <w:spacing w:val="-6"/>
        </w:rPr>
        <w:t xml:space="preserve"> </w:t>
      </w:r>
      <w:r>
        <w:t>des</w:t>
      </w:r>
      <w:r>
        <w:rPr>
          <w:spacing w:val="-6"/>
        </w:rPr>
        <w:t xml:space="preserve"> </w:t>
      </w:r>
      <w:r>
        <w:t>difficultés mais sur la nature des obstacles rencontrés par chacun de ces élèves dans les apprentissages. La notion de Besoins Educatifs Particuliers, contrairement aux étiquetages en lien avec la pathologie ou la difficulté d'apprentissage,</w:t>
      </w:r>
      <w:r>
        <w:rPr>
          <w:spacing w:val="22"/>
        </w:rPr>
        <w:t xml:space="preserve"> </w:t>
      </w:r>
      <w:r>
        <w:t>est</w:t>
      </w:r>
      <w:r>
        <w:rPr>
          <w:spacing w:val="22"/>
        </w:rPr>
        <w:t xml:space="preserve"> </w:t>
      </w:r>
      <w:r>
        <w:t>une</w:t>
      </w:r>
      <w:r>
        <w:rPr>
          <w:spacing w:val="22"/>
        </w:rPr>
        <w:t xml:space="preserve"> </w:t>
      </w:r>
      <w:r>
        <w:t>notion</w:t>
      </w:r>
      <w:r>
        <w:rPr>
          <w:spacing w:val="21"/>
        </w:rPr>
        <w:t xml:space="preserve"> </w:t>
      </w:r>
      <w:r>
        <w:t>opérante</w:t>
      </w:r>
      <w:r>
        <w:rPr>
          <w:spacing w:val="22"/>
        </w:rPr>
        <w:t xml:space="preserve"> </w:t>
      </w:r>
      <w:r>
        <w:t>pour</w:t>
      </w:r>
      <w:r>
        <w:rPr>
          <w:spacing w:val="22"/>
        </w:rPr>
        <w:t xml:space="preserve"> </w:t>
      </w:r>
      <w:r>
        <w:t>les</w:t>
      </w:r>
      <w:r>
        <w:rPr>
          <w:spacing w:val="22"/>
        </w:rPr>
        <w:t xml:space="preserve"> </w:t>
      </w:r>
      <w:r>
        <w:t>enseignants</w:t>
      </w:r>
      <w:r>
        <w:rPr>
          <w:spacing w:val="22"/>
        </w:rPr>
        <w:t xml:space="preserve"> </w:t>
      </w:r>
      <w:r>
        <w:t>(Thomazet,</w:t>
      </w:r>
      <w:r>
        <w:rPr>
          <w:spacing w:val="20"/>
        </w:rPr>
        <w:t xml:space="preserve"> </w:t>
      </w:r>
      <w:r>
        <w:t>2012).</w:t>
      </w:r>
      <w:r>
        <w:rPr>
          <w:spacing w:val="22"/>
        </w:rPr>
        <w:t xml:space="preserve"> </w:t>
      </w:r>
      <w:r>
        <w:t>En</w:t>
      </w:r>
      <w:r>
        <w:rPr>
          <w:spacing w:val="19"/>
        </w:rPr>
        <w:t xml:space="preserve"> </w:t>
      </w:r>
      <w:r>
        <w:t>effet,</w:t>
      </w:r>
      <w:r>
        <w:rPr>
          <w:spacing w:val="20"/>
        </w:rPr>
        <w:t xml:space="preserve"> </w:t>
      </w:r>
      <w:r>
        <w:t>les</w:t>
      </w:r>
      <w:r>
        <w:rPr>
          <w:spacing w:val="20"/>
        </w:rPr>
        <w:t xml:space="preserve"> </w:t>
      </w:r>
      <w:r>
        <w:t>étiquettes «</w:t>
      </w:r>
      <w:r>
        <w:rPr>
          <w:spacing w:val="-1"/>
        </w:rPr>
        <w:t xml:space="preserve"> </w:t>
      </w:r>
      <w:r>
        <w:t>élève handicapé » et «</w:t>
      </w:r>
      <w:r>
        <w:rPr>
          <w:spacing w:val="-4"/>
        </w:rPr>
        <w:t xml:space="preserve"> </w:t>
      </w:r>
      <w:r>
        <w:t>élève en difficulté d'apprentissage</w:t>
      </w:r>
      <w:r>
        <w:rPr>
          <w:spacing w:val="-1"/>
        </w:rPr>
        <w:t xml:space="preserve"> </w:t>
      </w:r>
      <w:r>
        <w:t>» ne permettent pas d'informer validement les enseignants sur les besoins des élèves et les réponses à apporter (Thomazet, 2013). Depuis plusieurs décennies,</w:t>
      </w:r>
      <w:r>
        <w:rPr>
          <w:spacing w:val="-5"/>
        </w:rPr>
        <w:t xml:space="preserve"> </w:t>
      </w:r>
      <w:r>
        <w:t>les</w:t>
      </w:r>
      <w:r>
        <w:rPr>
          <w:spacing w:val="-3"/>
        </w:rPr>
        <w:t xml:space="preserve"> </w:t>
      </w:r>
      <w:r>
        <w:t>différentes</w:t>
      </w:r>
      <w:r>
        <w:rPr>
          <w:spacing w:val="-3"/>
        </w:rPr>
        <w:t xml:space="preserve"> </w:t>
      </w:r>
      <w:r>
        <w:t>dispositions</w:t>
      </w:r>
      <w:r>
        <w:rPr>
          <w:spacing w:val="-3"/>
        </w:rPr>
        <w:t xml:space="preserve"> </w:t>
      </w:r>
      <w:r>
        <w:t>de</w:t>
      </w:r>
      <w:r>
        <w:rPr>
          <w:spacing w:val="-5"/>
        </w:rPr>
        <w:t xml:space="preserve"> </w:t>
      </w:r>
      <w:r>
        <w:t>la</w:t>
      </w:r>
      <w:r>
        <w:rPr>
          <w:spacing w:val="-3"/>
        </w:rPr>
        <w:t xml:space="preserve"> </w:t>
      </w:r>
      <w:r>
        <w:t>loi</w:t>
      </w:r>
      <w:r>
        <w:rPr>
          <w:spacing w:val="-3"/>
        </w:rPr>
        <w:t xml:space="preserve"> </w:t>
      </w:r>
      <w:r>
        <w:t>concernant</w:t>
      </w:r>
      <w:r>
        <w:rPr>
          <w:spacing w:val="-2"/>
        </w:rPr>
        <w:t xml:space="preserve"> </w:t>
      </w:r>
      <w:r>
        <w:t>l'école</w:t>
      </w:r>
      <w:r>
        <w:rPr>
          <w:spacing w:val="-5"/>
        </w:rPr>
        <w:t xml:space="preserve"> </w:t>
      </w:r>
      <w:r>
        <w:t>témoignent</w:t>
      </w:r>
      <w:r>
        <w:rPr>
          <w:spacing w:val="-5"/>
        </w:rPr>
        <w:t xml:space="preserve"> </w:t>
      </w:r>
      <w:r>
        <w:t>d'un</w:t>
      </w:r>
      <w:r>
        <w:rPr>
          <w:spacing w:val="-4"/>
        </w:rPr>
        <w:t xml:space="preserve"> </w:t>
      </w:r>
      <w:r>
        <w:t>glissement</w:t>
      </w:r>
      <w:r>
        <w:rPr>
          <w:spacing w:val="-2"/>
        </w:rPr>
        <w:t xml:space="preserve"> </w:t>
      </w:r>
      <w:r>
        <w:t>des</w:t>
      </w:r>
      <w:r>
        <w:rPr>
          <w:spacing w:val="-3"/>
        </w:rPr>
        <w:t xml:space="preserve"> </w:t>
      </w:r>
      <w:r>
        <w:t>pratiques enseignantes</w:t>
      </w:r>
      <w:r>
        <w:rPr>
          <w:spacing w:val="-8"/>
        </w:rPr>
        <w:t xml:space="preserve"> </w:t>
      </w:r>
      <w:r>
        <w:t>de</w:t>
      </w:r>
      <w:r>
        <w:rPr>
          <w:spacing w:val="-7"/>
        </w:rPr>
        <w:t xml:space="preserve"> </w:t>
      </w:r>
      <w:r>
        <w:t>l'intégration</w:t>
      </w:r>
      <w:r>
        <w:rPr>
          <w:spacing w:val="-8"/>
        </w:rPr>
        <w:t xml:space="preserve"> </w:t>
      </w:r>
      <w:r>
        <w:t>à</w:t>
      </w:r>
      <w:r>
        <w:rPr>
          <w:spacing w:val="-7"/>
        </w:rPr>
        <w:t xml:space="preserve"> </w:t>
      </w:r>
      <w:r>
        <w:t>l'inclusion</w:t>
      </w:r>
      <w:r>
        <w:rPr>
          <w:spacing w:val="-11"/>
        </w:rPr>
        <w:t xml:space="preserve"> </w:t>
      </w:r>
      <w:r>
        <w:t>scolaire.</w:t>
      </w:r>
      <w:r>
        <w:rPr>
          <w:spacing w:val="-8"/>
        </w:rPr>
        <w:t xml:space="preserve"> </w:t>
      </w:r>
      <w:r>
        <w:t>Ces</w:t>
      </w:r>
      <w:r>
        <w:rPr>
          <w:spacing w:val="-8"/>
        </w:rPr>
        <w:t xml:space="preserve"> </w:t>
      </w:r>
      <w:r>
        <w:t>nouvelles</w:t>
      </w:r>
      <w:r>
        <w:rPr>
          <w:spacing w:val="-7"/>
        </w:rPr>
        <w:t xml:space="preserve"> </w:t>
      </w:r>
      <w:r>
        <w:t>pratiques</w:t>
      </w:r>
      <w:r>
        <w:rPr>
          <w:spacing w:val="-8"/>
        </w:rPr>
        <w:t xml:space="preserve"> </w:t>
      </w:r>
      <w:r>
        <w:t>peuvent</w:t>
      </w:r>
      <w:r>
        <w:rPr>
          <w:spacing w:val="-7"/>
        </w:rPr>
        <w:t xml:space="preserve"> </w:t>
      </w:r>
      <w:r>
        <w:t>être</w:t>
      </w:r>
      <w:r>
        <w:rPr>
          <w:spacing w:val="-9"/>
        </w:rPr>
        <w:t xml:space="preserve"> </w:t>
      </w:r>
      <w:r>
        <w:t>vécues</w:t>
      </w:r>
      <w:r>
        <w:rPr>
          <w:spacing w:val="-7"/>
        </w:rPr>
        <w:t xml:space="preserve"> </w:t>
      </w:r>
      <w:r>
        <w:t>difficilement par les enseignants et les élèves. Dès lors, les données de la recherche peuvent être particulièrement utiles dans la promotion de l’école inclusive.</w:t>
      </w:r>
      <w:r w:rsidR="00D96961">
        <w:t xml:space="preserve"> </w:t>
      </w:r>
      <w:r>
        <w:t xml:space="preserve">En ce sens, depuis 2020 et pour </w:t>
      </w:r>
      <w:r>
        <w:lastRenderedPageBreak/>
        <w:t>10 ans, l’INSPÉ de Lille-HDF avec ses partenaires INSPÉ d’Amiens (porteur), de</w:t>
      </w:r>
      <w:r>
        <w:rPr>
          <w:spacing w:val="-6"/>
        </w:rPr>
        <w:t xml:space="preserve"> </w:t>
      </w:r>
      <w:r>
        <w:t>Caen</w:t>
      </w:r>
      <w:r>
        <w:rPr>
          <w:spacing w:val="-7"/>
        </w:rPr>
        <w:t xml:space="preserve"> </w:t>
      </w:r>
      <w:r>
        <w:t>et</w:t>
      </w:r>
      <w:r>
        <w:rPr>
          <w:spacing w:val="-6"/>
        </w:rPr>
        <w:t xml:space="preserve"> </w:t>
      </w:r>
      <w:r>
        <w:t>de</w:t>
      </w:r>
      <w:r>
        <w:rPr>
          <w:spacing w:val="-6"/>
        </w:rPr>
        <w:t xml:space="preserve"> </w:t>
      </w:r>
      <w:r>
        <w:t>Rouen</w:t>
      </w:r>
      <w:r>
        <w:rPr>
          <w:spacing w:val="-7"/>
        </w:rPr>
        <w:t xml:space="preserve"> </w:t>
      </w:r>
      <w:r>
        <w:t>développe</w:t>
      </w:r>
      <w:r>
        <w:rPr>
          <w:spacing w:val="-6"/>
        </w:rPr>
        <w:t xml:space="preserve"> </w:t>
      </w:r>
      <w:r>
        <w:t>le</w:t>
      </w:r>
      <w:r>
        <w:rPr>
          <w:spacing w:val="-6"/>
        </w:rPr>
        <w:t xml:space="preserve"> </w:t>
      </w:r>
      <w:r>
        <w:t>projet</w:t>
      </w:r>
      <w:r>
        <w:rPr>
          <w:spacing w:val="-6"/>
        </w:rPr>
        <w:t xml:space="preserve"> </w:t>
      </w:r>
      <w:r>
        <w:t>PIA3</w:t>
      </w:r>
      <w:r>
        <w:rPr>
          <w:spacing w:val="-6"/>
        </w:rPr>
        <w:t xml:space="preserve"> </w:t>
      </w:r>
      <w:r>
        <w:t>«</w:t>
      </w:r>
      <w:r>
        <w:rPr>
          <w:spacing w:val="-5"/>
        </w:rPr>
        <w:t xml:space="preserve"> </w:t>
      </w:r>
      <w:r>
        <w:t>100%</w:t>
      </w:r>
      <w:r>
        <w:rPr>
          <w:spacing w:val="-7"/>
        </w:rPr>
        <w:t xml:space="preserve"> </w:t>
      </w:r>
      <w:r>
        <w:t>IDT</w:t>
      </w:r>
      <w:r>
        <w:rPr>
          <w:spacing w:val="-6"/>
        </w:rPr>
        <w:t xml:space="preserve"> </w:t>
      </w:r>
      <w:r>
        <w:t>–</w:t>
      </w:r>
      <w:r>
        <w:rPr>
          <w:spacing w:val="-8"/>
        </w:rPr>
        <w:t xml:space="preserve"> </w:t>
      </w:r>
      <w:r>
        <w:t>100%</w:t>
      </w:r>
      <w:r>
        <w:rPr>
          <w:spacing w:val="-6"/>
        </w:rPr>
        <w:t xml:space="preserve"> </w:t>
      </w:r>
      <w:r>
        <w:t>inclusion,</w:t>
      </w:r>
      <w:r>
        <w:rPr>
          <w:spacing w:val="-6"/>
        </w:rPr>
        <w:t xml:space="preserve"> </w:t>
      </w:r>
      <w:r>
        <w:t>un</w:t>
      </w:r>
      <w:r>
        <w:rPr>
          <w:spacing w:val="-7"/>
        </w:rPr>
        <w:t xml:space="preserve"> </w:t>
      </w:r>
      <w:r>
        <w:t>défi,</w:t>
      </w:r>
      <w:r>
        <w:rPr>
          <w:spacing w:val="-7"/>
        </w:rPr>
        <w:t xml:space="preserve"> </w:t>
      </w:r>
      <w:r>
        <w:t>un</w:t>
      </w:r>
      <w:r>
        <w:rPr>
          <w:spacing w:val="-7"/>
        </w:rPr>
        <w:t xml:space="preserve"> </w:t>
      </w:r>
      <w:r>
        <w:t>territoire</w:t>
      </w:r>
      <w:r>
        <w:rPr>
          <w:spacing w:val="-2"/>
        </w:rPr>
        <w:t xml:space="preserve"> </w:t>
      </w:r>
      <w:r>
        <w:t>»</w:t>
      </w:r>
      <w:r>
        <w:rPr>
          <w:spacing w:val="-8"/>
        </w:rPr>
        <w:t xml:space="preserve"> </w:t>
      </w:r>
      <w:r>
        <w:t>avec</w:t>
      </w:r>
      <w:r>
        <w:rPr>
          <w:spacing w:val="-6"/>
        </w:rPr>
        <w:t xml:space="preserve"> </w:t>
      </w:r>
      <w:r>
        <w:t xml:space="preserve">pour objectif la création d’un pôle structurant multidisciplinaire. </w:t>
      </w:r>
    </w:p>
    <w:p w14:paraId="69F8AAB2" w14:textId="1635AE62" w:rsidR="0077099C" w:rsidRDefault="00D96961" w:rsidP="0077099C">
      <w:pPr>
        <w:pStyle w:val="Corpsdetexte"/>
        <w:spacing w:line="276" w:lineRule="auto"/>
        <w:ind w:right="108"/>
        <w:jc w:val="both"/>
      </w:pPr>
      <w:r>
        <w:t>L’axe 3 du GIS permettra d’explorer plusieurs axes de recherche</w:t>
      </w:r>
      <w:r w:rsidR="0077099C">
        <w:t xml:space="preserve"> :</w:t>
      </w:r>
    </w:p>
    <w:p w14:paraId="03B9705E" w14:textId="77777777" w:rsidR="0077099C" w:rsidRPr="00245F08" w:rsidRDefault="0077099C" w:rsidP="0077099C">
      <w:pPr>
        <w:pStyle w:val="Paragraphedeliste"/>
        <w:numPr>
          <w:ilvl w:val="0"/>
          <w:numId w:val="1"/>
        </w:numPr>
        <w:tabs>
          <w:tab w:val="left" w:pos="1535"/>
        </w:tabs>
        <w:ind w:left="1535" w:hanging="360"/>
        <w:rPr>
          <w:sz w:val="20"/>
        </w:rPr>
      </w:pPr>
      <w:r w:rsidRPr="00245F08">
        <w:rPr>
          <w:sz w:val="20"/>
        </w:rPr>
        <w:t>Les</w:t>
      </w:r>
      <w:r w:rsidRPr="00245F08">
        <w:rPr>
          <w:spacing w:val="-8"/>
          <w:sz w:val="20"/>
        </w:rPr>
        <w:t xml:space="preserve"> </w:t>
      </w:r>
      <w:r w:rsidRPr="00245F08">
        <w:rPr>
          <w:sz w:val="20"/>
        </w:rPr>
        <w:t>obstacles</w:t>
      </w:r>
      <w:r w:rsidRPr="00245F08">
        <w:rPr>
          <w:spacing w:val="-3"/>
          <w:sz w:val="20"/>
        </w:rPr>
        <w:t xml:space="preserve"> </w:t>
      </w:r>
      <w:r w:rsidRPr="00245F08">
        <w:rPr>
          <w:sz w:val="20"/>
        </w:rPr>
        <w:t>bio-psycho-sociaux</w:t>
      </w:r>
      <w:r w:rsidRPr="00245F08">
        <w:rPr>
          <w:spacing w:val="-4"/>
          <w:sz w:val="20"/>
        </w:rPr>
        <w:t xml:space="preserve"> </w:t>
      </w:r>
      <w:r w:rsidRPr="00245F08">
        <w:rPr>
          <w:sz w:val="20"/>
        </w:rPr>
        <w:t>à</w:t>
      </w:r>
      <w:r w:rsidRPr="00245F08">
        <w:rPr>
          <w:spacing w:val="-5"/>
          <w:sz w:val="20"/>
        </w:rPr>
        <w:t xml:space="preserve"> </w:t>
      </w:r>
      <w:r w:rsidRPr="00245F08">
        <w:rPr>
          <w:sz w:val="20"/>
        </w:rPr>
        <w:t>la</w:t>
      </w:r>
      <w:r w:rsidRPr="00245F08">
        <w:rPr>
          <w:spacing w:val="-6"/>
          <w:sz w:val="20"/>
        </w:rPr>
        <w:t xml:space="preserve"> </w:t>
      </w:r>
      <w:r w:rsidRPr="00245F08">
        <w:rPr>
          <w:sz w:val="20"/>
        </w:rPr>
        <w:t>mise</w:t>
      </w:r>
      <w:r w:rsidRPr="00245F08">
        <w:rPr>
          <w:spacing w:val="-5"/>
          <w:sz w:val="20"/>
        </w:rPr>
        <w:t xml:space="preserve"> </w:t>
      </w:r>
      <w:r w:rsidRPr="00245F08">
        <w:rPr>
          <w:sz w:val="20"/>
        </w:rPr>
        <w:t>en</w:t>
      </w:r>
      <w:r w:rsidRPr="00245F08">
        <w:rPr>
          <w:spacing w:val="-5"/>
          <w:sz w:val="20"/>
        </w:rPr>
        <w:t xml:space="preserve"> </w:t>
      </w:r>
      <w:r w:rsidRPr="00245F08">
        <w:rPr>
          <w:sz w:val="20"/>
        </w:rPr>
        <w:t>place</w:t>
      </w:r>
      <w:r w:rsidRPr="00245F08">
        <w:rPr>
          <w:spacing w:val="-2"/>
          <w:sz w:val="20"/>
        </w:rPr>
        <w:t xml:space="preserve"> </w:t>
      </w:r>
      <w:r w:rsidRPr="00245F08">
        <w:rPr>
          <w:sz w:val="20"/>
        </w:rPr>
        <w:t>de</w:t>
      </w:r>
      <w:r w:rsidRPr="00245F08">
        <w:rPr>
          <w:spacing w:val="-3"/>
          <w:sz w:val="20"/>
        </w:rPr>
        <w:t xml:space="preserve"> </w:t>
      </w:r>
      <w:r w:rsidRPr="00245F08">
        <w:rPr>
          <w:sz w:val="20"/>
        </w:rPr>
        <w:t>l’éducation</w:t>
      </w:r>
      <w:r w:rsidRPr="00245F08">
        <w:rPr>
          <w:spacing w:val="-4"/>
          <w:sz w:val="20"/>
        </w:rPr>
        <w:t xml:space="preserve"> </w:t>
      </w:r>
      <w:r w:rsidRPr="00245F08">
        <w:rPr>
          <w:spacing w:val="-2"/>
          <w:sz w:val="20"/>
        </w:rPr>
        <w:t>inclusive</w:t>
      </w:r>
    </w:p>
    <w:p w14:paraId="7C1889BB" w14:textId="77777777" w:rsidR="0077099C" w:rsidRPr="00245F08" w:rsidRDefault="0077099C" w:rsidP="0077099C">
      <w:pPr>
        <w:pStyle w:val="Paragraphedeliste"/>
        <w:numPr>
          <w:ilvl w:val="0"/>
          <w:numId w:val="1"/>
        </w:numPr>
        <w:tabs>
          <w:tab w:val="left" w:pos="1536"/>
        </w:tabs>
        <w:spacing w:before="39" w:line="276" w:lineRule="auto"/>
        <w:ind w:right="112"/>
        <w:rPr>
          <w:sz w:val="20"/>
        </w:rPr>
      </w:pPr>
      <w:r w:rsidRPr="00245F08">
        <w:rPr>
          <w:sz w:val="20"/>
        </w:rPr>
        <w:t>Le développement</w:t>
      </w:r>
      <w:r w:rsidRPr="00245F08">
        <w:rPr>
          <w:spacing w:val="-2"/>
          <w:sz w:val="20"/>
        </w:rPr>
        <w:t xml:space="preserve"> </w:t>
      </w:r>
      <w:r w:rsidRPr="00245F08">
        <w:rPr>
          <w:sz w:val="20"/>
        </w:rPr>
        <w:t>des</w:t>
      </w:r>
      <w:r w:rsidRPr="00245F08">
        <w:rPr>
          <w:spacing w:val="-3"/>
          <w:sz w:val="20"/>
        </w:rPr>
        <w:t xml:space="preserve"> </w:t>
      </w:r>
      <w:r w:rsidRPr="00245F08">
        <w:rPr>
          <w:sz w:val="20"/>
        </w:rPr>
        <w:t>connaissances scientifiques</w:t>
      </w:r>
      <w:r w:rsidRPr="00245F08">
        <w:rPr>
          <w:spacing w:val="-3"/>
          <w:sz w:val="20"/>
        </w:rPr>
        <w:t xml:space="preserve"> </w:t>
      </w:r>
      <w:r w:rsidRPr="00245F08">
        <w:rPr>
          <w:sz w:val="20"/>
        </w:rPr>
        <w:t>sur</w:t>
      </w:r>
      <w:r w:rsidRPr="00245F08">
        <w:rPr>
          <w:spacing w:val="-1"/>
          <w:sz w:val="20"/>
        </w:rPr>
        <w:t xml:space="preserve"> </w:t>
      </w:r>
      <w:r w:rsidRPr="00245F08">
        <w:rPr>
          <w:sz w:val="20"/>
        </w:rPr>
        <w:t>les</w:t>
      </w:r>
      <w:r w:rsidRPr="00245F08">
        <w:rPr>
          <w:spacing w:val="-3"/>
          <w:sz w:val="20"/>
        </w:rPr>
        <w:t xml:space="preserve"> </w:t>
      </w:r>
      <w:r w:rsidRPr="00245F08">
        <w:rPr>
          <w:sz w:val="20"/>
        </w:rPr>
        <w:t>caractéristiques</w:t>
      </w:r>
      <w:r w:rsidRPr="00245F08">
        <w:rPr>
          <w:spacing w:val="-3"/>
          <w:sz w:val="20"/>
        </w:rPr>
        <w:t xml:space="preserve"> </w:t>
      </w:r>
      <w:r w:rsidRPr="00245F08">
        <w:rPr>
          <w:sz w:val="20"/>
        </w:rPr>
        <w:t>sociales, affectives et cognitives des publics à besoins éducatifs particuliers</w:t>
      </w:r>
    </w:p>
    <w:p w14:paraId="5468C4FE" w14:textId="77777777" w:rsidR="0077099C" w:rsidRPr="00245F08" w:rsidRDefault="0077099C" w:rsidP="0077099C">
      <w:pPr>
        <w:pStyle w:val="Paragraphedeliste"/>
        <w:numPr>
          <w:ilvl w:val="0"/>
          <w:numId w:val="1"/>
        </w:numPr>
        <w:tabs>
          <w:tab w:val="left" w:pos="1536"/>
        </w:tabs>
        <w:spacing w:before="2" w:line="273" w:lineRule="auto"/>
        <w:ind w:right="112"/>
        <w:rPr>
          <w:sz w:val="20"/>
        </w:rPr>
      </w:pPr>
      <w:r w:rsidRPr="00245F08">
        <w:rPr>
          <w:sz w:val="20"/>
        </w:rPr>
        <w:t>L’effet des formations, interprofessionnelles ou non, sur les personnels éducatifs et médico- sociaux, sur leur rapport à l’éducation inclusive et leurs pratiques professionnelles</w:t>
      </w:r>
    </w:p>
    <w:p w14:paraId="525A1A11" w14:textId="77777777" w:rsidR="0077099C" w:rsidRPr="00245F08" w:rsidRDefault="0077099C" w:rsidP="0077099C">
      <w:pPr>
        <w:pStyle w:val="Paragraphedeliste"/>
        <w:numPr>
          <w:ilvl w:val="0"/>
          <w:numId w:val="1"/>
        </w:numPr>
        <w:tabs>
          <w:tab w:val="left" w:pos="1536"/>
        </w:tabs>
        <w:spacing w:before="4" w:line="276" w:lineRule="auto"/>
        <w:ind w:right="111" w:hanging="360"/>
        <w:rPr>
          <w:sz w:val="20"/>
        </w:rPr>
      </w:pPr>
      <w:r w:rsidRPr="00245F08">
        <w:rPr>
          <w:sz w:val="20"/>
        </w:rPr>
        <w:t>L’expérimentation de modalités de formations innovantes au service de la scolarisation des élèves – à BEP ou non, tant en formation initiale qu’en formation continue</w:t>
      </w:r>
    </w:p>
    <w:p w14:paraId="65A6D730" w14:textId="77777777" w:rsidR="0077099C" w:rsidRDefault="0077099C" w:rsidP="0077099C">
      <w:pPr>
        <w:spacing w:before="27"/>
        <w:ind w:left="108"/>
        <w:jc w:val="both"/>
        <w:rPr>
          <w:b/>
        </w:rPr>
      </w:pPr>
    </w:p>
    <w:p w14:paraId="4C9A448C" w14:textId="07126EC0" w:rsidR="0077099C" w:rsidRPr="009B793C" w:rsidRDefault="0077099C" w:rsidP="0077099C">
      <w:pPr>
        <w:spacing w:before="27"/>
        <w:ind w:left="108"/>
        <w:jc w:val="both"/>
        <w:rPr>
          <w:b/>
          <w:color w:val="1F4E79" w:themeColor="accent5" w:themeShade="80"/>
        </w:rPr>
      </w:pPr>
      <w:r w:rsidRPr="009B793C">
        <w:rPr>
          <w:b/>
          <w:color w:val="1F4E79" w:themeColor="accent5" w:themeShade="80"/>
        </w:rPr>
        <w:t>Axe</w:t>
      </w:r>
      <w:r w:rsidRPr="009B793C">
        <w:rPr>
          <w:b/>
          <w:color w:val="1F4E79" w:themeColor="accent5" w:themeShade="80"/>
          <w:spacing w:val="-4"/>
        </w:rPr>
        <w:t xml:space="preserve"> </w:t>
      </w:r>
      <w:r w:rsidRPr="009B793C">
        <w:rPr>
          <w:b/>
          <w:color w:val="1F4E79" w:themeColor="accent5" w:themeShade="80"/>
        </w:rPr>
        <w:t>4</w:t>
      </w:r>
      <w:r w:rsidRPr="009B793C">
        <w:rPr>
          <w:b/>
          <w:color w:val="1F4E79" w:themeColor="accent5" w:themeShade="80"/>
          <w:spacing w:val="-4"/>
        </w:rPr>
        <w:t xml:space="preserve"> </w:t>
      </w:r>
      <w:r w:rsidRPr="009B793C">
        <w:rPr>
          <w:b/>
          <w:color w:val="1F4E79" w:themeColor="accent5" w:themeShade="80"/>
        </w:rPr>
        <w:t>–</w:t>
      </w:r>
      <w:r w:rsidRPr="009B793C">
        <w:rPr>
          <w:b/>
          <w:color w:val="1F4E79" w:themeColor="accent5" w:themeShade="80"/>
          <w:spacing w:val="-2"/>
        </w:rPr>
        <w:t xml:space="preserve"> </w:t>
      </w:r>
      <w:r w:rsidRPr="009B793C">
        <w:rPr>
          <w:b/>
          <w:color w:val="1F4E79" w:themeColor="accent5" w:themeShade="80"/>
        </w:rPr>
        <w:t>Accompagner</w:t>
      </w:r>
      <w:r w:rsidRPr="009B793C">
        <w:rPr>
          <w:b/>
          <w:color w:val="1F4E79" w:themeColor="accent5" w:themeShade="80"/>
          <w:spacing w:val="-5"/>
        </w:rPr>
        <w:t xml:space="preserve"> </w:t>
      </w:r>
      <w:r w:rsidRPr="009B793C">
        <w:rPr>
          <w:b/>
          <w:color w:val="1F4E79" w:themeColor="accent5" w:themeShade="80"/>
        </w:rPr>
        <w:t>le</w:t>
      </w:r>
      <w:r w:rsidRPr="009B793C">
        <w:rPr>
          <w:b/>
          <w:color w:val="1F4E79" w:themeColor="accent5" w:themeShade="80"/>
          <w:spacing w:val="-4"/>
        </w:rPr>
        <w:t xml:space="preserve"> </w:t>
      </w:r>
      <w:r w:rsidRPr="009B793C">
        <w:rPr>
          <w:b/>
          <w:color w:val="1F4E79" w:themeColor="accent5" w:themeShade="80"/>
        </w:rPr>
        <w:t>lien</w:t>
      </w:r>
      <w:r w:rsidRPr="009B793C">
        <w:rPr>
          <w:b/>
          <w:color w:val="1F4E79" w:themeColor="accent5" w:themeShade="80"/>
          <w:spacing w:val="-4"/>
        </w:rPr>
        <w:t xml:space="preserve"> </w:t>
      </w:r>
      <w:r w:rsidRPr="009B793C">
        <w:rPr>
          <w:b/>
          <w:color w:val="1F4E79" w:themeColor="accent5" w:themeShade="80"/>
        </w:rPr>
        <w:t>des</w:t>
      </w:r>
      <w:r w:rsidRPr="009B793C">
        <w:rPr>
          <w:b/>
          <w:color w:val="1F4E79" w:themeColor="accent5" w:themeShade="80"/>
          <w:spacing w:val="-2"/>
        </w:rPr>
        <w:t xml:space="preserve"> </w:t>
      </w:r>
      <w:r w:rsidRPr="009B793C">
        <w:rPr>
          <w:b/>
          <w:color w:val="1F4E79" w:themeColor="accent5" w:themeShade="80"/>
        </w:rPr>
        <w:t>adolescents</w:t>
      </w:r>
      <w:r w:rsidRPr="009B793C">
        <w:rPr>
          <w:b/>
          <w:color w:val="1F4E79" w:themeColor="accent5" w:themeShade="80"/>
          <w:spacing w:val="-5"/>
        </w:rPr>
        <w:t xml:space="preserve"> </w:t>
      </w:r>
      <w:r w:rsidRPr="009B793C">
        <w:rPr>
          <w:b/>
          <w:color w:val="1F4E79" w:themeColor="accent5" w:themeShade="80"/>
        </w:rPr>
        <w:t>aux</w:t>
      </w:r>
      <w:r w:rsidRPr="009B793C">
        <w:rPr>
          <w:b/>
          <w:color w:val="1F4E79" w:themeColor="accent5" w:themeShade="80"/>
          <w:spacing w:val="-3"/>
        </w:rPr>
        <w:t xml:space="preserve"> </w:t>
      </w:r>
      <w:r w:rsidRPr="009B793C">
        <w:rPr>
          <w:b/>
          <w:color w:val="1F4E79" w:themeColor="accent5" w:themeShade="80"/>
          <w:spacing w:val="-2"/>
        </w:rPr>
        <w:t>institutions</w:t>
      </w:r>
      <w:r w:rsidR="003B2F4A">
        <w:rPr>
          <w:b/>
          <w:color w:val="1F4E79" w:themeColor="accent5" w:themeShade="80"/>
          <w:spacing w:val="-2"/>
        </w:rPr>
        <w:t xml:space="preserve"> (axe en redéfinition – l’appel à projets sera ouvert ultérieurement pour 2027)</w:t>
      </w:r>
    </w:p>
    <w:p w14:paraId="55448F37" w14:textId="77777777" w:rsidR="0077099C" w:rsidRDefault="0077099C" w:rsidP="0077099C">
      <w:pPr>
        <w:pStyle w:val="Corpsdetexte"/>
        <w:spacing w:before="79"/>
        <w:rPr>
          <w:b/>
        </w:rPr>
      </w:pPr>
    </w:p>
    <w:p w14:paraId="42372173" w14:textId="77777777" w:rsidR="0077099C" w:rsidRDefault="0077099C" w:rsidP="0077099C">
      <w:pPr>
        <w:pStyle w:val="Corpsdetexte"/>
        <w:spacing w:before="1" w:line="276" w:lineRule="auto"/>
        <w:ind w:right="104"/>
        <w:jc w:val="both"/>
      </w:pPr>
      <w:r>
        <w:t>L’adolescence, phase de transition entre l’enfance et l’âge adulte est une période particulière d’un point de vue développemental. Il s’agit d’une période de construction identitaire particulière. Plus précisément, l’adolescent.e va se forger une représentation de soi dépendante du regard des</w:t>
      </w:r>
      <w:r>
        <w:rPr>
          <w:spacing w:val="-1"/>
        </w:rPr>
        <w:t xml:space="preserve"> </w:t>
      </w:r>
      <w:r>
        <w:t xml:space="preserve">autres. Les relations sociales et l’appartenance à des groupes sociaux sont en effet des éléments fondateurs de la personnalité des </w:t>
      </w:r>
      <w:r>
        <w:rPr>
          <w:spacing w:val="-2"/>
        </w:rPr>
        <w:t>adolescent.es.</w:t>
      </w:r>
    </w:p>
    <w:p w14:paraId="580B04E7" w14:textId="77777777" w:rsidR="0077099C" w:rsidRDefault="0077099C" w:rsidP="0077099C">
      <w:pPr>
        <w:pStyle w:val="Corpsdetexte"/>
        <w:spacing w:before="1" w:line="276" w:lineRule="auto"/>
        <w:ind w:right="106"/>
        <w:jc w:val="both"/>
      </w:pPr>
      <w:r>
        <w:t>La période de l’adolescence est aussi une période de transgression et de progression. La transgression se caractérise par la non prise en compte des règles établies par les adultes. C’est une période nécessaire d’individuation.</w:t>
      </w:r>
      <w:r>
        <w:rPr>
          <w:spacing w:val="-5"/>
        </w:rPr>
        <w:t xml:space="preserve"> </w:t>
      </w:r>
      <w:r>
        <w:t>La</w:t>
      </w:r>
      <w:r>
        <w:rPr>
          <w:spacing w:val="-5"/>
        </w:rPr>
        <w:t xml:space="preserve"> </w:t>
      </w:r>
      <w:r>
        <w:t>progression</w:t>
      </w:r>
      <w:r>
        <w:rPr>
          <w:spacing w:val="-5"/>
        </w:rPr>
        <w:t xml:space="preserve"> </w:t>
      </w:r>
      <w:r>
        <w:t>s’impose</w:t>
      </w:r>
      <w:r>
        <w:rPr>
          <w:spacing w:val="-6"/>
        </w:rPr>
        <w:t xml:space="preserve"> </w:t>
      </w:r>
      <w:r>
        <w:t>petit</w:t>
      </w:r>
      <w:r>
        <w:rPr>
          <w:spacing w:val="-6"/>
        </w:rPr>
        <w:t xml:space="preserve"> </w:t>
      </w:r>
      <w:r>
        <w:t>à</w:t>
      </w:r>
      <w:r>
        <w:rPr>
          <w:spacing w:val="-7"/>
        </w:rPr>
        <w:t xml:space="preserve"> </w:t>
      </w:r>
      <w:r>
        <w:t>petit</w:t>
      </w:r>
      <w:r>
        <w:rPr>
          <w:spacing w:val="-9"/>
        </w:rPr>
        <w:t xml:space="preserve"> </w:t>
      </w:r>
      <w:r>
        <w:t>dans</w:t>
      </w:r>
      <w:r>
        <w:rPr>
          <w:spacing w:val="-4"/>
        </w:rPr>
        <w:t xml:space="preserve"> </w:t>
      </w:r>
      <w:r>
        <w:t>la</w:t>
      </w:r>
      <w:r>
        <w:rPr>
          <w:spacing w:val="-7"/>
        </w:rPr>
        <w:t xml:space="preserve"> </w:t>
      </w:r>
      <w:r>
        <w:t>mesure</w:t>
      </w:r>
      <w:r>
        <w:rPr>
          <w:spacing w:val="-6"/>
        </w:rPr>
        <w:t xml:space="preserve"> </w:t>
      </w:r>
      <w:r>
        <w:t>où</w:t>
      </w:r>
      <w:r>
        <w:rPr>
          <w:spacing w:val="-5"/>
        </w:rPr>
        <w:t xml:space="preserve"> </w:t>
      </w:r>
      <w:r>
        <w:t>l’adolescent</w:t>
      </w:r>
      <w:r>
        <w:rPr>
          <w:spacing w:val="-4"/>
        </w:rPr>
        <w:t xml:space="preserve"> </w:t>
      </w:r>
      <w:r>
        <w:t>se</w:t>
      </w:r>
      <w:r>
        <w:rPr>
          <w:spacing w:val="-4"/>
        </w:rPr>
        <w:t xml:space="preserve"> </w:t>
      </w:r>
      <w:r>
        <w:t>forge</w:t>
      </w:r>
      <w:r>
        <w:rPr>
          <w:spacing w:val="-6"/>
        </w:rPr>
        <w:t xml:space="preserve"> </w:t>
      </w:r>
      <w:r>
        <w:t>sa</w:t>
      </w:r>
      <w:r>
        <w:rPr>
          <w:spacing w:val="-5"/>
        </w:rPr>
        <w:t xml:space="preserve"> </w:t>
      </w:r>
      <w:r>
        <w:t>propre</w:t>
      </w:r>
      <w:r>
        <w:rPr>
          <w:spacing w:val="-6"/>
        </w:rPr>
        <w:t xml:space="preserve"> </w:t>
      </w:r>
      <w:r>
        <w:t>image. Il est aussi</w:t>
      </w:r>
      <w:r>
        <w:rPr>
          <w:spacing w:val="-2"/>
        </w:rPr>
        <w:t xml:space="preserve"> </w:t>
      </w:r>
      <w:r>
        <w:t>amené à</w:t>
      </w:r>
      <w:r>
        <w:rPr>
          <w:spacing w:val="-2"/>
        </w:rPr>
        <w:t xml:space="preserve"> </w:t>
      </w:r>
      <w:r>
        <w:t>apprendre à négocier</w:t>
      </w:r>
      <w:r>
        <w:rPr>
          <w:spacing w:val="-2"/>
        </w:rPr>
        <w:t xml:space="preserve"> </w:t>
      </w:r>
      <w:r>
        <w:t>avec les adultes de</w:t>
      </w:r>
      <w:r>
        <w:rPr>
          <w:spacing w:val="-1"/>
        </w:rPr>
        <w:t xml:space="preserve"> </w:t>
      </w:r>
      <w:r>
        <w:t>son</w:t>
      </w:r>
      <w:r>
        <w:rPr>
          <w:spacing w:val="-3"/>
        </w:rPr>
        <w:t xml:space="preserve"> </w:t>
      </w:r>
      <w:r>
        <w:t>entourage (parents, enseignants,</w:t>
      </w:r>
      <w:r>
        <w:rPr>
          <w:spacing w:val="-2"/>
        </w:rPr>
        <w:t xml:space="preserve"> </w:t>
      </w:r>
      <w:r>
        <w:t>etc.) pour trouver un compromis.</w:t>
      </w:r>
    </w:p>
    <w:p w14:paraId="39C800BD" w14:textId="77777777" w:rsidR="0077099C" w:rsidRDefault="0077099C" w:rsidP="0077099C">
      <w:pPr>
        <w:pStyle w:val="Corpsdetexte"/>
        <w:spacing w:line="267" w:lineRule="exact"/>
        <w:jc w:val="both"/>
      </w:pPr>
      <w:r>
        <w:rPr>
          <w:spacing w:val="-2"/>
        </w:rPr>
        <w:t>Ces</w:t>
      </w:r>
      <w:r>
        <w:rPr>
          <w:spacing w:val="-7"/>
        </w:rPr>
        <w:t xml:space="preserve"> </w:t>
      </w:r>
      <w:r>
        <w:rPr>
          <w:spacing w:val="-2"/>
        </w:rPr>
        <w:t>différents</w:t>
      </w:r>
      <w:r>
        <w:rPr>
          <w:spacing w:val="-5"/>
        </w:rPr>
        <w:t xml:space="preserve"> </w:t>
      </w:r>
      <w:r>
        <w:rPr>
          <w:spacing w:val="-2"/>
        </w:rPr>
        <w:t>éléments</w:t>
      </w:r>
      <w:r>
        <w:rPr>
          <w:spacing w:val="-8"/>
        </w:rPr>
        <w:t xml:space="preserve"> </w:t>
      </w:r>
      <w:r>
        <w:rPr>
          <w:spacing w:val="-2"/>
        </w:rPr>
        <w:t>vont</w:t>
      </w:r>
      <w:r>
        <w:rPr>
          <w:spacing w:val="-3"/>
        </w:rPr>
        <w:t xml:space="preserve"> </w:t>
      </w:r>
      <w:r>
        <w:rPr>
          <w:spacing w:val="-2"/>
        </w:rPr>
        <w:t>induire</w:t>
      </w:r>
      <w:r>
        <w:rPr>
          <w:spacing w:val="-4"/>
        </w:rPr>
        <w:t xml:space="preserve"> </w:t>
      </w:r>
      <w:r>
        <w:rPr>
          <w:spacing w:val="-2"/>
        </w:rPr>
        <w:t>un</w:t>
      </w:r>
      <w:r>
        <w:rPr>
          <w:spacing w:val="-6"/>
        </w:rPr>
        <w:t xml:space="preserve"> </w:t>
      </w:r>
      <w:r>
        <w:rPr>
          <w:spacing w:val="-2"/>
        </w:rPr>
        <w:t>rapport</w:t>
      </w:r>
      <w:r>
        <w:rPr>
          <w:spacing w:val="-4"/>
        </w:rPr>
        <w:t xml:space="preserve"> </w:t>
      </w:r>
      <w:r>
        <w:rPr>
          <w:spacing w:val="-2"/>
        </w:rPr>
        <w:t>particulier</w:t>
      </w:r>
      <w:r>
        <w:rPr>
          <w:spacing w:val="-5"/>
        </w:rPr>
        <w:t xml:space="preserve"> </w:t>
      </w:r>
      <w:r>
        <w:rPr>
          <w:spacing w:val="-2"/>
        </w:rPr>
        <w:t>aux</w:t>
      </w:r>
      <w:r>
        <w:rPr>
          <w:spacing w:val="-4"/>
        </w:rPr>
        <w:t xml:space="preserve"> </w:t>
      </w:r>
      <w:r>
        <w:rPr>
          <w:spacing w:val="-2"/>
        </w:rPr>
        <w:t>institutions</w:t>
      </w:r>
      <w:r>
        <w:rPr>
          <w:spacing w:val="-7"/>
        </w:rPr>
        <w:t xml:space="preserve"> </w:t>
      </w:r>
      <w:r>
        <w:rPr>
          <w:spacing w:val="-2"/>
        </w:rPr>
        <w:t>en</w:t>
      </w:r>
      <w:r>
        <w:rPr>
          <w:spacing w:val="-6"/>
        </w:rPr>
        <w:t xml:space="preserve"> </w:t>
      </w:r>
      <w:r>
        <w:rPr>
          <w:spacing w:val="-2"/>
        </w:rPr>
        <w:t>général</w:t>
      </w:r>
      <w:r>
        <w:rPr>
          <w:spacing w:val="-5"/>
        </w:rPr>
        <w:t xml:space="preserve"> </w:t>
      </w:r>
      <w:r>
        <w:rPr>
          <w:spacing w:val="-2"/>
        </w:rPr>
        <w:t>et</w:t>
      </w:r>
      <w:r>
        <w:rPr>
          <w:spacing w:val="-8"/>
        </w:rPr>
        <w:t xml:space="preserve"> </w:t>
      </w:r>
      <w:r>
        <w:rPr>
          <w:spacing w:val="-2"/>
        </w:rPr>
        <w:t>à</w:t>
      </w:r>
      <w:r>
        <w:rPr>
          <w:spacing w:val="-5"/>
        </w:rPr>
        <w:t xml:space="preserve"> </w:t>
      </w:r>
      <w:r>
        <w:rPr>
          <w:spacing w:val="-2"/>
        </w:rPr>
        <w:t>l’école</w:t>
      </w:r>
      <w:r>
        <w:rPr>
          <w:spacing w:val="-3"/>
        </w:rPr>
        <w:t xml:space="preserve"> </w:t>
      </w:r>
      <w:r>
        <w:rPr>
          <w:spacing w:val="-2"/>
        </w:rPr>
        <w:t>en</w:t>
      </w:r>
      <w:r>
        <w:rPr>
          <w:spacing w:val="-6"/>
        </w:rPr>
        <w:t xml:space="preserve"> </w:t>
      </w:r>
      <w:r>
        <w:rPr>
          <w:spacing w:val="-2"/>
        </w:rPr>
        <w:t>particulier.</w:t>
      </w:r>
    </w:p>
    <w:p w14:paraId="48D11EF0" w14:textId="77777777" w:rsidR="0077099C" w:rsidRDefault="0077099C" w:rsidP="0077099C">
      <w:pPr>
        <w:pStyle w:val="Corpsdetexte"/>
        <w:spacing w:before="79"/>
      </w:pPr>
    </w:p>
    <w:p w14:paraId="199CB395" w14:textId="6175DDD4" w:rsidR="0077099C" w:rsidRPr="009B793C" w:rsidRDefault="0077099C" w:rsidP="0077099C">
      <w:pPr>
        <w:ind w:left="252"/>
        <w:jc w:val="both"/>
        <w:rPr>
          <w:b/>
          <w:color w:val="1F4E79" w:themeColor="accent5" w:themeShade="80"/>
        </w:rPr>
      </w:pPr>
      <w:r w:rsidRPr="009B793C">
        <w:rPr>
          <w:b/>
          <w:color w:val="1F4E79" w:themeColor="accent5" w:themeShade="80"/>
        </w:rPr>
        <w:t>Axe</w:t>
      </w:r>
      <w:r w:rsidRPr="009B793C">
        <w:rPr>
          <w:b/>
          <w:color w:val="1F4E79" w:themeColor="accent5" w:themeShade="80"/>
          <w:spacing w:val="-4"/>
        </w:rPr>
        <w:t xml:space="preserve"> </w:t>
      </w:r>
      <w:r w:rsidRPr="009B793C">
        <w:rPr>
          <w:b/>
          <w:color w:val="1F4E79" w:themeColor="accent5" w:themeShade="80"/>
        </w:rPr>
        <w:t>5</w:t>
      </w:r>
      <w:r w:rsidRPr="009B793C">
        <w:rPr>
          <w:b/>
          <w:color w:val="1F4E79" w:themeColor="accent5" w:themeShade="80"/>
          <w:spacing w:val="-4"/>
        </w:rPr>
        <w:t xml:space="preserve"> </w:t>
      </w:r>
      <w:r w:rsidRPr="009B793C">
        <w:rPr>
          <w:b/>
          <w:color w:val="1F4E79" w:themeColor="accent5" w:themeShade="80"/>
        </w:rPr>
        <w:t>–</w:t>
      </w:r>
      <w:r w:rsidRPr="009B793C">
        <w:rPr>
          <w:b/>
          <w:color w:val="1F4E79" w:themeColor="accent5" w:themeShade="80"/>
          <w:spacing w:val="-2"/>
        </w:rPr>
        <w:t xml:space="preserve"> </w:t>
      </w:r>
      <w:r w:rsidRPr="009B793C">
        <w:rPr>
          <w:b/>
          <w:color w:val="1F4E79" w:themeColor="accent5" w:themeShade="80"/>
        </w:rPr>
        <w:t>Mobiliser</w:t>
      </w:r>
      <w:r w:rsidRPr="009B793C">
        <w:rPr>
          <w:b/>
          <w:color w:val="1F4E79" w:themeColor="accent5" w:themeShade="80"/>
          <w:spacing w:val="-4"/>
        </w:rPr>
        <w:t xml:space="preserve"> </w:t>
      </w:r>
      <w:r w:rsidRPr="009B793C">
        <w:rPr>
          <w:b/>
          <w:color w:val="1F4E79" w:themeColor="accent5" w:themeShade="80"/>
        </w:rPr>
        <w:t>et</w:t>
      </w:r>
      <w:r w:rsidRPr="009B793C">
        <w:rPr>
          <w:b/>
          <w:color w:val="1F4E79" w:themeColor="accent5" w:themeShade="80"/>
          <w:spacing w:val="-3"/>
        </w:rPr>
        <w:t xml:space="preserve"> </w:t>
      </w:r>
      <w:r w:rsidRPr="009B793C">
        <w:rPr>
          <w:b/>
          <w:color w:val="1F4E79" w:themeColor="accent5" w:themeShade="80"/>
        </w:rPr>
        <w:t>analyser</w:t>
      </w:r>
      <w:r w:rsidRPr="009B793C">
        <w:rPr>
          <w:b/>
          <w:color w:val="1F4E79" w:themeColor="accent5" w:themeShade="80"/>
          <w:spacing w:val="-2"/>
        </w:rPr>
        <w:t xml:space="preserve"> </w:t>
      </w:r>
      <w:r w:rsidRPr="009B793C">
        <w:rPr>
          <w:b/>
          <w:color w:val="1F4E79" w:themeColor="accent5" w:themeShade="80"/>
        </w:rPr>
        <w:t>la</w:t>
      </w:r>
      <w:r w:rsidRPr="009B793C">
        <w:rPr>
          <w:b/>
          <w:color w:val="1F4E79" w:themeColor="accent5" w:themeShade="80"/>
          <w:spacing w:val="-5"/>
        </w:rPr>
        <w:t xml:space="preserve"> </w:t>
      </w:r>
      <w:r w:rsidRPr="009B793C">
        <w:rPr>
          <w:b/>
          <w:color w:val="1F4E79" w:themeColor="accent5" w:themeShade="80"/>
        </w:rPr>
        <w:t>littérature</w:t>
      </w:r>
      <w:r w:rsidRPr="009B793C">
        <w:rPr>
          <w:b/>
          <w:color w:val="1F4E79" w:themeColor="accent5" w:themeShade="80"/>
          <w:spacing w:val="-4"/>
        </w:rPr>
        <w:t xml:space="preserve"> </w:t>
      </w:r>
      <w:r w:rsidRPr="009B793C">
        <w:rPr>
          <w:b/>
          <w:color w:val="1F4E79" w:themeColor="accent5" w:themeShade="80"/>
        </w:rPr>
        <w:t>de</w:t>
      </w:r>
      <w:r w:rsidRPr="009B793C">
        <w:rPr>
          <w:b/>
          <w:color w:val="1F4E79" w:themeColor="accent5" w:themeShade="80"/>
          <w:spacing w:val="-5"/>
        </w:rPr>
        <w:t xml:space="preserve"> </w:t>
      </w:r>
      <w:r w:rsidRPr="009B793C">
        <w:rPr>
          <w:b/>
          <w:color w:val="1F4E79" w:themeColor="accent5" w:themeShade="80"/>
          <w:spacing w:val="-2"/>
        </w:rPr>
        <w:t>jeunesse</w:t>
      </w:r>
      <w:r w:rsidR="003B2F4A">
        <w:rPr>
          <w:b/>
          <w:color w:val="1F4E79" w:themeColor="accent5" w:themeShade="80"/>
          <w:spacing w:val="-2"/>
        </w:rPr>
        <w:t xml:space="preserve"> (pilote d’axe : Anne BESSON </w:t>
      </w:r>
      <w:hyperlink r:id="rId20" w:history="1">
        <w:r w:rsidR="003B2F4A" w:rsidRPr="00215636">
          <w:rPr>
            <w:rStyle w:val="Lienhypertexte"/>
            <w:b/>
            <w:spacing w:val="-2"/>
          </w:rPr>
          <w:t>anne.besson@univ-artois.fr</w:t>
        </w:r>
      </w:hyperlink>
      <w:r w:rsidR="003B2F4A">
        <w:rPr>
          <w:b/>
          <w:color w:val="1F4E79" w:themeColor="accent5" w:themeShade="80"/>
          <w:spacing w:val="-2"/>
        </w:rPr>
        <w:t xml:space="preserve">) </w:t>
      </w:r>
    </w:p>
    <w:p w14:paraId="2BA21F2A" w14:textId="77777777" w:rsidR="0077099C" w:rsidRDefault="0077099C" w:rsidP="0077099C">
      <w:pPr>
        <w:pStyle w:val="Corpsdetexte"/>
        <w:spacing w:before="82"/>
        <w:rPr>
          <w:b/>
        </w:rPr>
      </w:pPr>
    </w:p>
    <w:p w14:paraId="05926567" w14:textId="77777777" w:rsidR="0077099C" w:rsidRDefault="0077099C" w:rsidP="0077099C">
      <w:pPr>
        <w:pStyle w:val="Corpsdetexte"/>
        <w:spacing w:line="276" w:lineRule="auto"/>
        <w:ind w:right="107"/>
        <w:jc w:val="both"/>
      </w:pPr>
      <w:r>
        <w:t>La</w:t>
      </w:r>
      <w:r>
        <w:rPr>
          <w:spacing w:val="-13"/>
        </w:rPr>
        <w:t xml:space="preserve"> </w:t>
      </w:r>
      <w:r>
        <w:t>littérature</w:t>
      </w:r>
      <w:r>
        <w:rPr>
          <w:spacing w:val="-12"/>
        </w:rPr>
        <w:t xml:space="preserve"> </w:t>
      </w:r>
      <w:r>
        <w:t>de</w:t>
      </w:r>
      <w:r>
        <w:rPr>
          <w:spacing w:val="-13"/>
        </w:rPr>
        <w:t xml:space="preserve"> </w:t>
      </w:r>
      <w:r>
        <w:t>jeunesse</w:t>
      </w:r>
      <w:r>
        <w:rPr>
          <w:spacing w:val="-12"/>
        </w:rPr>
        <w:t xml:space="preserve"> </w:t>
      </w:r>
      <w:r>
        <w:t>occupe</w:t>
      </w:r>
      <w:r>
        <w:rPr>
          <w:spacing w:val="-13"/>
        </w:rPr>
        <w:t xml:space="preserve"> </w:t>
      </w:r>
      <w:r>
        <w:t>aujourd’hui</w:t>
      </w:r>
      <w:r>
        <w:rPr>
          <w:spacing w:val="-12"/>
        </w:rPr>
        <w:t xml:space="preserve"> </w:t>
      </w:r>
      <w:r>
        <w:t>une</w:t>
      </w:r>
      <w:r>
        <w:rPr>
          <w:spacing w:val="-13"/>
        </w:rPr>
        <w:t xml:space="preserve"> </w:t>
      </w:r>
      <w:r>
        <w:t>place</w:t>
      </w:r>
      <w:r>
        <w:rPr>
          <w:spacing w:val="-12"/>
        </w:rPr>
        <w:t xml:space="preserve"> </w:t>
      </w:r>
      <w:r>
        <w:t>très</w:t>
      </w:r>
      <w:r>
        <w:rPr>
          <w:spacing w:val="-12"/>
        </w:rPr>
        <w:t xml:space="preserve"> </w:t>
      </w:r>
      <w:r>
        <w:t>importante</w:t>
      </w:r>
      <w:r>
        <w:rPr>
          <w:spacing w:val="-13"/>
        </w:rPr>
        <w:t xml:space="preserve"> </w:t>
      </w:r>
      <w:r>
        <w:t>dans</w:t>
      </w:r>
      <w:r>
        <w:rPr>
          <w:spacing w:val="-12"/>
        </w:rPr>
        <w:t xml:space="preserve"> </w:t>
      </w:r>
      <w:r>
        <w:t>le</w:t>
      </w:r>
      <w:r>
        <w:rPr>
          <w:spacing w:val="-13"/>
        </w:rPr>
        <w:t xml:space="preserve"> </w:t>
      </w:r>
      <w:r>
        <w:t>paysage</w:t>
      </w:r>
      <w:r>
        <w:rPr>
          <w:spacing w:val="-12"/>
        </w:rPr>
        <w:t xml:space="preserve"> </w:t>
      </w:r>
      <w:r>
        <w:t>culturel</w:t>
      </w:r>
      <w:r>
        <w:rPr>
          <w:spacing w:val="-13"/>
        </w:rPr>
        <w:t xml:space="preserve"> </w:t>
      </w:r>
      <w:r>
        <w:t>comme</w:t>
      </w:r>
      <w:r>
        <w:rPr>
          <w:spacing w:val="-12"/>
        </w:rPr>
        <w:t xml:space="preserve"> </w:t>
      </w:r>
      <w:r>
        <w:t>dans l’institution scolaire. Son développement a été considérable durant les 30 dernières années et les qualités esthétiques d’une grande partie de sa production reconnues (manifestations, rencontres, salons etc.). Sa diversification dans différents genres (album, conte, roman, poésie, bande dessinée, théâtre contemporain de jeunesse), et dans celui des documentaires, comme les différentes catégories de public auxquelles elle s’adresse (des tout jeunes enfants aux adolescents voire aux jeunes adultes) en font le vecteur d’une médiation culturelle et artistique de tout premier plan. De fait, dans la région Nord de France, nombreuses sont les actions de médiation s’appuyant sur cette littérature. Dans l’institution scolaire, depuis le début du XXIe siècle, elle est intégrée à tous les niveaux de l’école et du collège dans les programmes et les listes d’ouvrages recommandés,</w:t>
      </w:r>
      <w:r>
        <w:rPr>
          <w:spacing w:val="-3"/>
        </w:rPr>
        <w:t xml:space="preserve"> </w:t>
      </w:r>
      <w:r>
        <w:t>pour</w:t>
      </w:r>
      <w:r>
        <w:rPr>
          <w:spacing w:val="-1"/>
        </w:rPr>
        <w:t xml:space="preserve"> </w:t>
      </w:r>
      <w:r>
        <w:t>contribuer</w:t>
      </w:r>
      <w:r>
        <w:rPr>
          <w:spacing w:val="-3"/>
        </w:rPr>
        <w:t xml:space="preserve"> </w:t>
      </w:r>
      <w:r>
        <w:t>à</w:t>
      </w:r>
      <w:r>
        <w:rPr>
          <w:spacing w:val="-3"/>
        </w:rPr>
        <w:t xml:space="preserve"> </w:t>
      </w:r>
      <w:r>
        <w:t>la</w:t>
      </w:r>
      <w:r>
        <w:rPr>
          <w:spacing w:val="-3"/>
        </w:rPr>
        <w:t xml:space="preserve"> </w:t>
      </w:r>
      <w:r>
        <w:t>construction</w:t>
      </w:r>
      <w:r>
        <w:rPr>
          <w:spacing w:val="-3"/>
        </w:rPr>
        <w:t xml:space="preserve"> </w:t>
      </w:r>
      <w:r>
        <w:t>d’une culture</w:t>
      </w:r>
      <w:r>
        <w:rPr>
          <w:spacing w:val="-2"/>
        </w:rPr>
        <w:t xml:space="preserve"> </w:t>
      </w:r>
      <w:r>
        <w:t>commune tout</w:t>
      </w:r>
      <w:r>
        <w:rPr>
          <w:spacing w:val="-2"/>
        </w:rPr>
        <w:t xml:space="preserve"> </w:t>
      </w:r>
      <w:r>
        <w:t>en</w:t>
      </w:r>
      <w:r>
        <w:rPr>
          <w:spacing w:val="-1"/>
        </w:rPr>
        <w:t xml:space="preserve"> </w:t>
      </w:r>
      <w:r>
        <w:t>permettant de nombreux apprentissages langagiers. Par ailleurs, certains de ces genres, par exemple celui de la Fantasy, suscite</w:t>
      </w:r>
      <w:r>
        <w:rPr>
          <w:spacing w:val="-13"/>
        </w:rPr>
        <w:t xml:space="preserve"> </w:t>
      </w:r>
      <w:r>
        <w:t>l’intérêt</w:t>
      </w:r>
      <w:r>
        <w:rPr>
          <w:spacing w:val="-12"/>
        </w:rPr>
        <w:t xml:space="preserve"> </w:t>
      </w:r>
      <w:r>
        <w:t>de</w:t>
      </w:r>
      <w:r>
        <w:rPr>
          <w:spacing w:val="-11"/>
        </w:rPr>
        <w:t xml:space="preserve"> </w:t>
      </w:r>
      <w:r>
        <w:t>nombreux</w:t>
      </w:r>
      <w:r>
        <w:rPr>
          <w:spacing w:val="-11"/>
        </w:rPr>
        <w:t xml:space="preserve"> </w:t>
      </w:r>
      <w:r>
        <w:t>adolescents,</w:t>
      </w:r>
      <w:r>
        <w:rPr>
          <w:spacing w:val="-13"/>
        </w:rPr>
        <w:t xml:space="preserve"> </w:t>
      </w:r>
      <w:r>
        <w:t>en</w:t>
      </w:r>
      <w:r>
        <w:rPr>
          <w:spacing w:val="-11"/>
        </w:rPr>
        <w:t xml:space="preserve"> </w:t>
      </w:r>
      <w:r>
        <w:t>lien</w:t>
      </w:r>
      <w:r>
        <w:rPr>
          <w:spacing w:val="-12"/>
        </w:rPr>
        <w:t xml:space="preserve"> </w:t>
      </w:r>
      <w:r>
        <w:t>avec</w:t>
      </w:r>
      <w:r>
        <w:rPr>
          <w:spacing w:val="-13"/>
        </w:rPr>
        <w:t xml:space="preserve"> </w:t>
      </w:r>
      <w:r>
        <w:t>de</w:t>
      </w:r>
      <w:r>
        <w:rPr>
          <w:spacing w:val="-10"/>
        </w:rPr>
        <w:t xml:space="preserve"> </w:t>
      </w:r>
      <w:r>
        <w:t>nouvelles</w:t>
      </w:r>
      <w:r>
        <w:rPr>
          <w:spacing w:val="-11"/>
        </w:rPr>
        <w:t xml:space="preserve"> </w:t>
      </w:r>
      <w:r>
        <w:t>pratiques</w:t>
      </w:r>
      <w:r>
        <w:rPr>
          <w:spacing w:val="-11"/>
        </w:rPr>
        <w:t xml:space="preserve"> </w:t>
      </w:r>
      <w:r>
        <w:t>culturelles</w:t>
      </w:r>
      <w:r>
        <w:rPr>
          <w:spacing w:val="-11"/>
        </w:rPr>
        <w:t xml:space="preserve"> </w:t>
      </w:r>
      <w:r>
        <w:t>liées</w:t>
      </w:r>
      <w:r>
        <w:rPr>
          <w:spacing w:val="-11"/>
        </w:rPr>
        <w:t xml:space="preserve"> </w:t>
      </w:r>
      <w:r>
        <w:t>au</w:t>
      </w:r>
      <w:r>
        <w:rPr>
          <w:spacing w:val="-12"/>
        </w:rPr>
        <w:t xml:space="preserve"> </w:t>
      </w:r>
      <w:r>
        <w:t xml:space="preserve">numérique. Toutefois, </w:t>
      </w:r>
      <w:r>
        <w:lastRenderedPageBreak/>
        <w:t>elle reste parfois méconnue, y compris d’une partie des enseignants, et inégalement exploitée,</w:t>
      </w:r>
      <w:r>
        <w:rPr>
          <w:spacing w:val="-1"/>
        </w:rPr>
        <w:t xml:space="preserve"> </w:t>
      </w:r>
      <w:r>
        <w:t>à l’école comme hors de l’école, dans un territoire marqué par de fortes inégalités. Or les conditions de son exploitation croisent de nombreux enjeux portés par les axes 1, 2, 3 voire 4.</w:t>
      </w:r>
    </w:p>
    <w:p w14:paraId="5C48DD68" w14:textId="77777777" w:rsidR="0077099C" w:rsidRDefault="0077099C" w:rsidP="0077099C">
      <w:pPr>
        <w:pStyle w:val="Corpsdetexte"/>
        <w:spacing w:line="267" w:lineRule="exact"/>
        <w:ind w:left="252"/>
        <w:jc w:val="both"/>
      </w:pPr>
      <w:r>
        <w:t>Ainsi,</w:t>
      </w:r>
      <w:r>
        <w:rPr>
          <w:spacing w:val="-7"/>
        </w:rPr>
        <w:t xml:space="preserve"> </w:t>
      </w:r>
      <w:r>
        <w:t>plusieurs</w:t>
      </w:r>
      <w:r>
        <w:rPr>
          <w:spacing w:val="-4"/>
        </w:rPr>
        <w:t xml:space="preserve"> </w:t>
      </w:r>
      <w:r>
        <w:t>axes</w:t>
      </w:r>
      <w:r>
        <w:rPr>
          <w:spacing w:val="-4"/>
        </w:rPr>
        <w:t xml:space="preserve"> </w:t>
      </w:r>
      <w:r>
        <w:t>de</w:t>
      </w:r>
      <w:r>
        <w:rPr>
          <w:spacing w:val="-3"/>
        </w:rPr>
        <w:t xml:space="preserve"> </w:t>
      </w:r>
      <w:r>
        <w:t>réflexion,</w:t>
      </w:r>
      <w:r>
        <w:rPr>
          <w:spacing w:val="-6"/>
        </w:rPr>
        <w:t xml:space="preserve"> </w:t>
      </w:r>
      <w:r>
        <w:t>présentés</w:t>
      </w:r>
      <w:r>
        <w:rPr>
          <w:spacing w:val="-4"/>
        </w:rPr>
        <w:t xml:space="preserve"> </w:t>
      </w:r>
      <w:r>
        <w:t>ici</w:t>
      </w:r>
      <w:r>
        <w:rPr>
          <w:spacing w:val="-7"/>
        </w:rPr>
        <w:t xml:space="preserve"> </w:t>
      </w:r>
      <w:r>
        <w:t>de</w:t>
      </w:r>
      <w:r>
        <w:rPr>
          <w:spacing w:val="-3"/>
        </w:rPr>
        <w:t xml:space="preserve"> </w:t>
      </w:r>
      <w:r>
        <w:t>façon</w:t>
      </w:r>
      <w:r>
        <w:rPr>
          <w:spacing w:val="-5"/>
        </w:rPr>
        <w:t xml:space="preserve"> </w:t>
      </w:r>
      <w:r>
        <w:t>non</w:t>
      </w:r>
      <w:r>
        <w:rPr>
          <w:spacing w:val="-5"/>
        </w:rPr>
        <w:t xml:space="preserve"> </w:t>
      </w:r>
      <w:r>
        <w:t>exhaustive,</w:t>
      </w:r>
      <w:r>
        <w:rPr>
          <w:spacing w:val="-4"/>
        </w:rPr>
        <w:t xml:space="preserve"> </w:t>
      </w:r>
      <w:r>
        <w:t>peuvent</w:t>
      </w:r>
      <w:r>
        <w:rPr>
          <w:spacing w:val="-6"/>
        </w:rPr>
        <w:t xml:space="preserve"> </w:t>
      </w:r>
      <w:r>
        <w:t>être</w:t>
      </w:r>
      <w:r>
        <w:rPr>
          <w:spacing w:val="-6"/>
        </w:rPr>
        <w:t xml:space="preserve"> </w:t>
      </w:r>
      <w:r>
        <w:t>envisagés</w:t>
      </w:r>
      <w:r>
        <w:rPr>
          <w:spacing w:val="-5"/>
        </w:rPr>
        <w:t xml:space="preserve"> </w:t>
      </w:r>
      <w:r>
        <w:rPr>
          <w:spacing w:val="-10"/>
        </w:rPr>
        <w:t>:</w:t>
      </w:r>
    </w:p>
    <w:p w14:paraId="7262D970" w14:textId="77777777" w:rsidR="0077099C" w:rsidRPr="00245F08" w:rsidRDefault="0077099C" w:rsidP="0077099C">
      <w:pPr>
        <w:pStyle w:val="Paragraphedeliste"/>
        <w:numPr>
          <w:ilvl w:val="0"/>
          <w:numId w:val="1"/>
        </w:numPr>
        <w:tabs>
          <w:tab w:val="left" w:pos="1534"/>
          <w:tab w:val="left" w:pos="1536"/>
        </w:tabs>
        <w:spacing w:before="42" w:line="276" w:lineRule="auto"/>
        <w:ind w:right="110"/>
        <w:jc w:val="both"/>
        <w:rPr>
          <w:sz w:val="20"/>
        </w:rPr>
      </w:pPr>
      <w:r w:rsidRPr="00245F08">
        <w:rPr>
          <w:sz w:val="20"/>
        </w:rPr>
        <w:t>des études, à l’école, hors de l’école ou sur des partenariats, portant sur les corpus et sur l’exploitation des potentialités de la littérature de jeunesse avec une attention portée aux conditions de réduction des inégalités culturelles : à quelles conditions la littérature de jeunesse peut-elle les réduire et non les accroitre ?</w:t>
      </w:r>
    </w:p>
    <w:p w14:paraId="553C84CA" w14:textId="77777777" w:rsidR="0077099C" w:rsidRPr="00245F08" w:rsidRDefault="0077099C" w:rsidP="0077099C">
      <w:pPr>
        <w:pStyle w:val="Paragraphedeliste"/>
        <w:numPr>
          <w:ilvl w:val="0"/>
          <w:numId w:val="1"/>
        </w:numPr>
        <w:tabs>
          <w:tab w:val="left" w:pos="1534"/>
          <w:tab w:val="left" w:pos="1536"/>
        </w:tabs>
        <w:spacing w:line="276" w:lineRule="auto"/>
        <w:ind w:right="112"/>
        <w:jc w:val="both"/>
        <w:rPr>
          <w:sz w:val="20"/>
        </w:rPr>
      </w:pPr>
      <w:r w:rsidRPr="00245F08">
        <w:rPr>
          <w:sz w:val="20"/>
        </w:rPr>
        <w:t>la</w:t>
      </w:r>
      <w:r w:rsidRPr="00245F08">
        <w:rPr>
          <w:spacing w:val="-2"/>
          <w:sz w:val="20"/>
        </w:rPr>
        <w:t xml:space="preserve"> </w:t>
      </w:r>
      <w:r w:rsidRPr="00245F08">
        <w:rPr>
          <w:sz w:val="20"/>
        </w:rPr>
        <w:t>formation</w:t>
      </w:r>
      <w:r w:rsidRPr="00245F08">
        <w:rPr>
          <w:spacing w:val="-3"/>
          <w:sz w:val="20"/>
        </w:rPr>
        <w:t xml:space="preserve"> </w:t>
      </w:r>
      <w:r w:rsidRPr="00245F08">
        <w:rPr>
          <w:sz w:val="20"/>
        </w:rPr>
        <w:t>des</w:t>
      </w:r>
      <w:r w:rsidRPr="00245F08">
        <w:rPr>
          <w:spacing w:val="-2"/>
          <w:sz w:val="20"/>
        </w:rPr>
        <w:t xml:space="preserve"> </w:t>
      </w:r>
      <w:r w:rsidRPr="00245F08">
        <w:rPr>
          <w:sz w:val="20"/>
        </w:rPr>
        <w:t>enseignants</w:t>
      </w:r>
      <w:r w:rsidRPr="00245F08">
        <w:rPr>
          <w:spacing w:val="-2"/>
          <w:sz w:val="20"/>
        </w:rPr>
        <w:t xml:space="preserve"> </w:t>
      </w:r>
      <w:r w:rsidRPr="00245F08">
        <w:rPr>
          <w:sz w:val="20"/>
        </w:rPr>
        <w:t>des</w:t>
      </w:r>
      <w:r w:rsidRPr="00245F08">
        <w:rPr>
          <w:spacing w:val="-4"/>
          <w:sz w:val="20"/>
        </w:rPr>
        <w:t xml:space="preserve"> </w:t>
      </w:r>
      <w:r w:rsidRPr="00245F08">
        <w:rPr>
          <w:sz w:val="20"/>
        </w:rPr>
        <w:t>premier</w:t>
      </w:r>
      <w:r w:rsidRPr="00245F08">
        <w:rPr>
          <w:spacing w:val="-4"/>
          <w:sz w:val="20"/>
        </w:rPr>
        <w:t xml:space="preserve"> </w:t>
      </w:r>
      <w:r w:rsidRPr="00245F08">
        <w:rPr>
          <w:sz w:val="20"/>
        </w:rPr>
        <w:t>et</w:t>
      </w:r>
      <w:r w:rsidRPr="00245F08">
        <w:rPr>
          <w:spacing w:val="-4"/>
          <w:sz w:val="20"/>
        </w:rPr>
        <w:t xml:space="preserve"> </w:t>
      </w:r>
      <w:r w:rsidRPr="00245F08">
        <w:rPr>
          <w:sz w:val="20"/>
        </w:rPr>
        <w:t>second</w:t>
      </w:r>
      <w:r w:rsidRPr="00245F08">
        <w:rPr>
          <w:spacing w:val="-3"/>
          <w:sz w:val="20"/>
        </w:rPr>
        <w:t xml:space="preserve"> </w:t>
      </w:r>
      <w:r w:rsidRPr="00245F08">
        <w:rPr>
          <w:sz w:val="20"/>
        </w:rPr>
        <w:t>degrés,</w:t>
      </w:r>
      <w:r w:rsidRPr="00245F08">
        <w:rPr>
          <w:spacing w:val="-2"/>
          <w:sz w:val="20"/>
        </w:rPr>
        <w:t xml:space="preserve"> </w:t>
      </w:r>
      <w:r w:rsidRPr="00245F08">
        <w:rPr>
          <w:sz w:val="20"/>
        </w:rPr>
        <w:t>des</w:t>
      </w:r>
      <w:r w:rsidRPr="00245F08">
        <w:rPr>
          <w:spacing w:val="-2"/>
          <w:sz w:val="20"/>
        </w:rPr>
        <w:t xml:space="preserve"> </w:t>
      </w:r>
      <w:r w:rsidRPr="00245F08">
        <w:rPr>
          <w:sz w:val="20"/>
        </w:rPr>
        <w:t>intervenants</w:t>
      </w:r>
      <w:r w:rsidRPr="00245F08">
        <w:rPr>
          <w:spacing w:val="-4"/>
          <w:sz w:val="20"/>
        </w:rPr>
        <w:t xml:space="preserve"> </w:t>
      </w:r>
      <w:r w:rsidRPr="00245F08">
        <w:rPr>
          <w:sz w:val="20"/>
        </w:rPr>
        <w:t>culturels</w:t>
      </w:r>
      <w:r w:rsidRPr="00245F08">
        <w:rPr>
          <w:spacing w:val="-2"/>
          <w:sz w:val="20"/>
        </w:rPr>
        <w:t xml:space="preserve"> </w:t>
      </w:r>
      <w:r w:rsidRPr="00245F08">
        <w:rPr>
          <w:sz w:val="20"/>
        </w:rPr>
        <w:t>à</w:t>
      </w:r>
      <w:r w:rsidRPr="00245F08">
        <w:rPr>
          <w:spacing w:val="-4"/>
          <w:sz w:val="20"/>
        </w:rPr>
        <w:t xml:space="preserve"> </w:t>
      </w:r>
      <w:r w:rsidRPr="00245F08">
        <w:rPr>
          <w:sz w:val="20"/>
        </w:rPr>
        <w:t>cette littérature, souvent très mal connue,</w:t>
      </w:r>
    </w:p>
    <w:p w14:paraId="0DBF10D4" w14:textId="77777777" w:rsidR="0077099C" w:rsidRPr="00245F08" w:rsidRDefault="0077099C" w:rsidP="0077099C">
      <w:pPr>
        <w:pStyle w:val="Paragraphedeliste"/>
        <w:numPr>
          <w:ilvl w:val="0"/>
          <w:numId w:val="1"/>
        </w:numPr>
        <w:tabs>
          <w:tab w:val="left" w:pos="1534"/>
          <w:tab w:val="left" w:pos="1536"/>
        </w:tabs>
        <w:spacing w:line="273" w:lineRule="auto"/>
        <w:ind w:right="113"/>
        <w:jc w:val="both"/>
        <w:rPr>
          <w:sz w:val="20"/>
        </w:rPr>
      </w:pPr>
      <w:r w:rsidRPr="00245F08">
        <w:rPr>
          <w:sz w:val="20"/>
        </w:rPr>
        <w:t>les études</w:t>
      </w:r>
      <w:r w:rsidRPr="00245F08">
        <w:rPr>
          <w:spacing w:val="-2"/>
          <w:sz w:val="20"/>
        </w:rPr>
        <w:t xml:space="preserve"> </w:t>
      </w:r>
      <w:r w:rsidRPr="00245F08">
        <w:rPr>
          <w:sz w:val="20"/>
        </w:rPr>
        <w:t>sur les pratiques</w:t>
      </w:r>
      <w:r w:rsidRPr="00245F08">
        <w:rPr>
          <w:spacing w:val="-2"/>
          <w:sz w:val="20"/>
        </w:rPr>
        <w:t xml:space="preserve"> </w:t>
      </w:r>
      <w:r w:rsidRPr="00245F08">
        <w:rPr>
          <w:sz w:val="20"/>
        </w:rPr>
        <w:t>de lecture</w:t>
      </w:r>
      <w:r w:rsidRPr="00245F08">
        <w:rPr>
          <w:spacing w:val="-1"/>
          <w:sz w:val="20"/>
        </w:rPr>
        <w:t xml:space="preserve"> </w:t>
      </w:r>
      <w:r w:rsidRPr="00245F08">
        <w:rPr>
          <w:sz w:val="20"/>
        </w:rPr>
        <w:t>des</w:t>
      </w:r>
      <w:r w:rsidRPr="00245F08">
        <w:rPr>
          <w:spacing w:val="-2"/>
          <w:sz w:val="20"/>
        </w:rPr>
        <w:t xml:space="preserve"> </w:t>
      </w:r>
      <w:r w:rsidRPr="00245F08">
        <w:rPr>
          <w:sz w:val="20"/>
        </w:rPr>
        <w:t>enfants</w:t>
      </w:r>
      <w:r w:rsidRPr="00245F08">
        <w:rPr>
          <w:spacing w:val="-2"/>
          <w:sz w:val="20"/>
        </w:rPr>
        <w:t xml:space="preserve"> </w:t>
      </w:r>
      <w:r w:rsidRPr="00245F08">
        <w:rPr>
          <w:sz w:val="20"/>
        </w:rPr>
        <w:t>et des adolescents</w:t>
      </w:r>
      <w:r w:rsidRPr="00245F08">
        <w:rPr>
          <w:spacing w:val="-2"/>
          <w:sz w:val="20"/>
        </w:rPr>
        <w:t xml:space="preserve"> </w:t>
      </w:r>
      <w:r w:rsidRPr="00245F08">
        <w:rPr>
          <w:sz w:val="20"/>
        </w:rPr>
        <w:t>en lien avec</w:t>
      </w:r>
      <w:r w:rsidRPr="00245F08">
        <w:rPr>
          <w:spacing w:val="-2"/>
          <w:sz w:val="20"/>
        </w:rPr>
        <w:t xml:space="preserve"> </w:t>
      </w:r>
      <w:r w:rsidRPr="00245F08">
        <w:rPr>
          <w:sz w:val="20"/>
        </w:rPr>
        <w:t>des</w:t>
      </w:r>
      <w:r w:rsidRPr="00245F08">
        <w:rPr>
          <w:spacing w:val="-2"/>
          <w:sz w:val="20"/>
        </w:rPr>
        <w:t xml:space="preserve"> </w:t>
      </w:r>
      <w:r w:rsidRPr="00245F08">
        <w:rPr>
          <w:sz w:val="20"/>
        </w:rPr>
        <w:t>actions à mener régionalement</w:t>
      </w:r>
    </w:p>
    <w:p w14:paraId="75F54784" w14:textId="77777777" w:rsidR="004B3F0F" w:rsidRDefault="004B3F0F" w:rsidP="00447B22">
      <w:pPr>
        <w:jc w:val="both"/>
      </w:pPr>
      <w:r>
        <w:br w:type="page"/>
      </w:r>
    </w:p>
    <w:p w14:paraId="5DC57D20" w14:textId="77777777" w:rsidR="007714F6" w:rsidRDefault="007714F6" w:rsidP="00447B22">
      <w:pPr>
        <w:jc w:val="both"/>
        <w:rPr>
          <w:b/>
          <w:bCs/>
          <w:color w:val="1F4E79" w:themeColor="accent5" w:themeShade="80"/>
        </w:rPr>
      </w:pPr>
    </w:p>
    <w:p w14:paraId="7C5E1D4C" w14:textId="77777777" w:rsidR="0077099C" w:rsidRPr="009B793C" w:rsidRDefault="004B3F0F" w:rsidP="00447B22">
      <w:pPr>
        <w:jc w:val="both"/>
        <w:rPr>
          <w:b/>
          <w:bCs/>
          <w:color w:val="1F4E79" w:themeColor="accent5" w:themeShade="80"/>
        </w:rPr>
      </w:pPr>
      <w:r w:rsidRPr="009B793C">
        <w:rPr>
          <w:b/>
          <w:bCs/>
          <w:color w:val="1F4E79" w:themeColor="accent5" w:themeShade="80"/>
        </w:rPr>
        <w:t xml:space="preserve">Annexe n°2 : Formulaire de candidature </w:t>
      </w:r>
      <w:r w:rsidR="005302ED" w:rsidRPr="009B793C">
        <w:rPr>
          <w:b/>
          <w:bCs/>
          <w:color w:val="1F4E79" w:themeColor="accent5" w:themeShade="80"/>
        </w:rPr>
        <w:t>à</w:t>
      </w:r>
      <w:r w:rsidRPr="009B793C">
        <w:rPr>
          <w:b/>
          <w:bCs/>
          <w:color w:val="1F4E79" w:themeColor="accent5" w:themeShade="80"/>
        </w:rPr>
        <w:t xml:space="preserve"> l’AAP GIS PREHAUTS</w:t>
      </w:r>
    </w:p>
    <w:p w14:paraId="4196E34C" w14:textId="77777777" w:rsidR="004B3F0F" w:rsidRDefault="004B3F0F" w:rsidP="00447B22">
      <w:pPr>
        <w:jc w:val="both"/>
      </w:pPr>
    </w:p>
    <w:p w14:paraId="549AA9A8" w14:textId="77777777" w:rsidR="005302ED" w:rsidRDefault="005302ED" w:rsidP="005302ED">
      <w:pPr>
        <w:tabs>
          <w:tab w:val="left" w:pos="390"/>
          <w:tab w:val="center" w:pos="5233"/>
        </w:tabs>
        <w:spacing w:before="240" w:after="0"/>
        <w:jc w:val="center"/>
        <w:rPr>
          <w:rStyle w:val="Accentuationintense"/>
          <w:rFonts w:ascii="Marianne" w:hAnsi="Marianne" w:cstheme="minorHAnsi"/>
          <w:b/>
          <w:i w:val="0"/>
          <w:iCs w:val="0"/>
          <w:color w:val="1F4E79" w:themeColor="accent5" w:themeShade="80"/>
          <w:sz w:val="28"/>
          <w:szCs w:val="28"/>
        </w:rPr>
      </w:pPr>
      <w:r w:rsidRPr="005302ED">
        <w:rPr>
          <w:rStyle w:val="Accentuationintense"/>
          <w:rFonts w:ascii="Marianne" w:hAnsi="Marianne" w:cstheme="minorHAnsi"/>
          <w:b/>
          <w:i w:val="0"/>
          <w:iCs w:val="0"/>
          <w:color w:val="1F4E79" w:themeColor="accent5" w:themeShade="80"/>
          <w:sz w:val="28"/>
          <w:szCs w:val="28"/>
        </w:rPr>
        <w:t xml:space="preserve">Appel à projets </w:t>
      </w:r>
    </w:p>
    <w:p w14:paraId="4C6B8412" w14:textId="77777777" w:rsidR="005302ED" w:rsidRPr="005302ED" w:rsidRDefault="005302ED" w:rsidP="005302ED">
      <w:pPr>
        <w:tabs>
          <w:tab w:val="left" w:pos="390"/>
          <w:tab w:val="center" w:pos="5233"/>
        </w:tabs>
        <w:spacing w:before="240" w:after="0"/>
        <w:jc w:val="center"/>
        <w:rPr>
          <w:rStyle w:val="Accentuationintense"/>
          <w:rFonts w:ascii="Marianne" w:hAnsi="Marianne" w:cstheme="minorHAnsi"/>
          <w:b/>
          <w:i w:val="0"/>
          <w:iCs w:val="0"/>
          <w:color w:val="1F4E79" w:themeColor="accent5" w:themeShade="80"/>
          <w:sz w:val="28"/>
          <w:szCs w:val="28"/>
        </w:rPr>
      </w:pPr>
      <w:r w:rsidRPr="005302ED">
        <w:rPr>
          <w:rStyle w:val="Accentuationintense"/>
          <w:rFonts w:ascii="Marianne" w:hAnsi="Marianne" w:cstheme="minorHAnsi"/>
          <w:b/>
          <w:i w:val="0"/>
          <w:iCs w:val="0"/>
          <w:color w:val="1F4E79" w:themeColor="accent5" w:themeShade="80"/>
          <w:sz w:val="28"/>
          <w:szCs w:val="28"/>
        </w:rPr>
        <w:t>Pôle recherche éducation Hauts-de-France (GIS PREHAUTS)</w:t>
      </w:r>
    </w:p>
    <w:p w14:paraId="53B691E9" w14:textId="77777777" w:rsidR="005302ED" w:rsidRPr="005302ED" w:rsidRDefault="005302ED" w:rsidP="005302ED">
      <w:pPr>
        <w:spacing w:before="240" w:after="0"/>
        <w:jc w:val="center"/>
        <w:rPr>
          <w:rStyle w:val="Accentuationintense"/>
          <w:rFonts w:ascii="Marianne" w:hAnsi="Marianne" w:cstheme="minorHAnsi"/>
          <w:b/>
          <w:i w:val="0"/>
          <w:iCs w:val="0"/>
          <w:color w:val="1F4E79" w:themeColor="accent5" w:themeShade="80"/>
          <w:sz w:val="28"/>
          <w:szCs w:val="28"/>
        </w:rPr>
      </w:pPr>
      <w:r w:rsidRPr="005302ED">
        <w:rPr>
          <w:rStyle w:val="Accentuationintense"/>
          <w:rFonts w:ascii="Marianne" w:hAnsi="Marianne" w:cstheme="minorHAnsi"/>
          <w:b/>
          <w:i w:val="0"/>
          <w:iCs w:val="0"/>
          <w:color w:val="1F4E79" w:themeColor="accent5" w:themeShade="80"/>
          <w:sz w:val="28"/>
          <w:szCs w:val="28"/>
        </w:rPr>
        <w:t>À destination des chercheurs rattachés aux universités des Hauts-de-France</w:t>
      </w:r>
    </w:p>
    <w:p w14:paraId="1E087CA6" w14:textId="77777777" w:rsidR="005302ED" w:rsidRDefault="005302ED" w:rsidP="005302ED">
      <w:pPr>
        <w:spacing w:before="240" w:after="0"/>
        <w:rPr>
          <w:rStyle w:val="Accentuationintense"/>
          <w:rFonts w:ascii="Roboto" w:hAnsi="Roboto" w:cs="Times New Roman"/>
          <w:b/>
          <w:sz w:val="28"/>
          <w:szCs w:val="28"/>
        </w:rPr>
      </w:pPr>
    </w:p>
    <w:p w14:paraId="46A2C073" w14:textId="77777777" w:rsidR="005302ED" w:rsidRPr="005302ED" w:rsidRDefault="005302ED" w:rsidP="005302ED">
      <w:pPr>
        <w:spacing w:before="240" w:after="0"/>
        <w:rPr>
          <w:rStyle w:val="Accentuationintense"/>
          <w:rFonts w:ascii="Roboto" w:hAnsi="Roboto" w:cs="Times New Roman"/>
          <w:b/>
          <w:i w:val="0"/>
          <w:iCs w:val="0"/>
          <w:color w:val="1F4E79" w:themeColor="accent5" w:themeShade="80"/>
          <w:sz w:val="24"/>
          <w:szCs w:val="24"/>
        </w:rPr>
      </w:pPr>
      <w:r w:rsidRPr="005302ED">
        <w:rPr>
          <w:rStyle w:val="Accentuationintense"/>
          <w:rFonts w:ascii="Roboto" w:hAnsi="Roboto" w:cs="Times New Roman"/>
          <w:b/>
          <w:i w:val="0"/>
          <w:iCs w:val="0"/>
          <w:color w:val="1F4E79" w:themeColor="accent5" w:themeShade="80"/>
          <w:sz w:val="24"/>
          <w:szCs w:val="24"/>
        </w:rPr>
        <w:t>Désignation du projet</w:t>
      </w:r>
    </w:p>
    <w:p w14:paraId="6CBDD4F1" w14:textId="77777777" w:rsidR="005302ED" w:rsidRPr="005302ED" w:rsidRDefault="005302ED" w:rsidP="005302ED">
      <w:pPr>
        <w:spacing w:before="240" w:after="0"/>
        <w:rPr>
          <w:rStyle w:val="Accentuationintense"/>
          <w:rFonts w:ascii="Roboto" w:hAnsi="Roboto" w:cs="Times New Roman"/>
          <w:b/>
          <w:i w:val="0"/>
          <w:iCs w:val="0"/>
          <w:color w:val="1F4E79" w:themeColor="accent5" w:themeShade="80"/>
          <w:sz w:val="24"/>
          <w:szCs w:val="24"/>
        </w:rPr>
      </w:pPr>
    </w:p>
    <w:p w14:paraId="499F013C" w14:textId="77777777" w:rsidR="005302ED" w:rsidRPr="005302ED" w:rsidRDefault="005302ED" w:rsidP="005302ED">
      <w:pPr>
        <w:spacing w:before="240" w:after="0"/>
        <w:rPr>
          <w:rStyle w:val="Accentuationintense"/>
          <w:rFonts w:ascii="Roboto" w:hAnsi="Roboto" w:cs="Times New Roman"/>
          <w:b/>
          <w:i w:val="0"/>
          <w:iCs w:val="0"/>
          <w:color w:val="1F4E79" w:themeColor="accent5" w:themeShade="80"/>
          <w:sz w:val="24"/>
          <w:szCs w:val="24"/>
        </w:rPr>
      </w:pPr>
      <w:r w:rsidRPr="005302ED">
        <w:rPr>
          <w:rStyle w:val="Accentuationintense"/>
          <w:rFonts w:ascii="Roboto" w:hAnsi="Roboto" w:cs="Times New Roman"/>
          <w:b/>
          <w:i w:val="0"/>
          <w:iCs w:val="0"/>
          <w:color w:val="1F4E79" w:themeColor="accent5" w:themeShade="80"/>
          <w:sz w:val="24"/>
          <w:szCs w:val="24"/>
        </w:rPr>
        <w:t>Description du projet (25 lignes maximum)</w:t>
      </w:r>
    </w:p>
    <w:p w14:paraId="73FF32FC" w14:textId="77777777" w:rsidR="005302ED" w:rsidRPr="005302ED" w:rsidRDefault="005302ED" w:rsidP="005302ED">
      <w:pPr>
        <w:spacing w:before="240" w:after="0"/>
        <w:rPr>
          <w:rStyle w:val="Accentuationintense"/>
          <w:rFonts w:ascii="Roboto" w:hAnsi="Roboto" w:cs="Times New Roman"/>
          <w:b/>
          <w:i w:val="0"/>
          <w:iCs w:val="0"/>
          <w:color w:val="1F4E79" w:themeColor="accent5" w:themeShade="80"/>
          <w:sz w:val="24"/>
          <w:szCs w:val="24"/>
        </w:rPr>
      </w:pPr>
    </w:p>
    <w:p w14:paraId="2053E5BC" w14:textId="77777777" w:rsidR="005302ED" w:rsidRPr="005302ED" w:rsidRDefault="005302ED" w:rsidP="005302ED">
      <w:pPr>
        <w:spacing w:before="240" w:after="0"/>
        <w:rPr>
          <w:rStyle w:val="Accentuationintense"/>
          <w:rFonts w:ascii="Roboto" w:hAnsi="Roboto" w:cs="Times New Roman"/>
          <w:b/>
          <w:i w:val="0"/>
          <w:iCs w:val="0"/>
          <w:color w:val="1F4E79" w:themeColor="accent5" w:themeShade="80"/>
          <w:sz w:val="24"/>
          <w:szCs w:val="24"/>
        </w:rPr>
      </w:pPr>
      <w:r w:rsidRPr="005302ED">
        <w:rPr>
          <w:rStyle w:val="Accentuationintense"/>
          <w:rFonts w:ascii="Roboto" w:hAnsi="Roboto" w:cs="Times New Roman"/>
          <w:b/>
          <w:i w:val="0"/>
          <w:iCs w:val="0"/>
          <w:color w:val="1F4E79" w:themeColor="accent5" w:themeShade="80"/>
          <w:sz w:val="24"/>
          <w:szCs w:val="24"/>
        </w:rPr>
        <w:t>Axe du GIS PREHAUTS dans lequel s’inscrit le projet (justifiez)</w:t>
      </w:r>
    </w:p>
    <w:p w14:paraId="4DA11E42" w14:textId="77777777" w:rsidR="005302ED" w:rsidRPr="005302ED" w:rsidRDefault="005302ED" w:rsidP="005302ED">
      <w:pPr>
        <w:spacing w:before="240" w:after="0"/>
        <w:rPr>
          <w:rStyle w:val="Accentuationintense"/>
          <w:rFonts w:ascii="Roboto" w:hAnsi="Roboto" w:cs="Times New Roman"/>
          <w:b/>
          <w:i w:val="0"/>
          <w:iCs w:val="0"/>
          <w:color w:val="1F4E79" w:themeColor="accent5" w:themeShade="80"/>
          <w:sz w:val="24"/>
          <w:szCs w:val="24"/>
        </w:rPr>
      </w:pPr>
    </w:p>
    <w:p w14:paraId="3912B653" w14:textId="77777777" w:rsidR="005302ED" w:rsidRPr="005302ED" w:rsidRDefault="005302ED" w:rsidP="005302ED">
      <w:pPr>
        <w:spacing w:before="240" w:after="0"/>
        <w:rPr>
          <w:rStyle w:val="Accentuationintense"/>
          <w:rFonts w:ascii="Roboto" w:hAnsi="Roboto" w:cs="Times New Roman"/>
          <w:b/>
          <w:i w:val="0"/>
          <w:iCs w:val="0"/>
          <w:color w:val="1F4E79" w:themeColor="accent5" w:themeShade="80"/>
          <w:sz w:val="24"/>
          <w:szCs w:val="24"/>
        </w:rPr>
      </w:pPr>
      <w:r w:rsidRPr="005302ED">
        <w:rPr>
          <w:rStyle w:val="Accentuationintense"/>
          <w:rFonts w:ascii="Roboto" w:hAnsi="Roboto" w:cs="Times New Roman"/>
          <w:b/>
          <w:i w:val="0"/>
          <w:iCs w:val="0"/>
          <w:color w:val="1F4E79" w:themeColor="accent5" w:themeShade="80"/>
          <w:sz w:val="24"/>
          <w:szCs w:val="24"/>
        </w:rPr>
        <w:t>Somme demandée et justification (précisez la nature des dépenses)</w:t>
      </w:r>
    </w:p>
    <w:p w14:paraId="1DE95AA8" w14:textId="77777777" w:rsidR="005302ED" w:rsidRPr="005302ED" w:rsidRDefault="005302ED" w:rsidP="005302ED">
      <w:pPr>
        <w:spacing w:before="240" w:after="0"/>
        <w:rPr>
          <w:rStyle w:val="Accentuationintense"/>
          <w:rFonts w:ascii="Roboto" w:hAnsi="Roboto" w:cs="Times New Roman"/>
          <w:b/>
          <w:i w:val="0"/>
          <w:iCs w:val="0"/>
          <w:color w:val="1F4E79" w:themeColor="accent5" w:themeShade="80"/>
          <w:sz w:val="24"/>
          <w:szCs w:val="24"/>
        </w:rPr>
      </w:pPr>
    </w:p>
    <w:p w14:paraId="1C47A3F8" w14:textId="77777777" w:rsidR="005302ED" w:rsidRPr="005302ED" w:rsidRDefault="005302ED" w:rsidP="005302ED">
      <w:pPr>
        <w:spacing w:before="240" w:after="0"/>
        <w:rPr>
          <w:rStyle w:val="Accentuationintense"/>
          <w:rFonts w:ascii="Roboto" w:hAnsi="Roboto" w:cs="Times New Roman"/>
          <w:b/>
          <w:i w:val="0"/>
          <w:iCs w:val="0"/>
          <w:color w:val="1F4E79" w:themeColor="accent5" w:themeShade="80"/>
          <w:sz w:val="24"/>
          <w:szCs w:val="24"/>
        </w:rPr>
      </w:pPr>
      <w:r w:rsidRPr="005302ED">
        <w:rPr>
          <w:rStyle w:val="Accentuationintense"/>
          <w:rFonts w:ascii="Roboto" w:hAnsi="Roboto" w:cs="Times New Roman"/>
          <w:b/>
          <w:i w:val="0"/>
          <w:iCs w:val="0"/>
          <w:color w:val="1F4E79" w:themeColor="accent5" w:themeShade="80"/>
          <w:sz w:val="24"/>
          <w:szCs w:val="24"/>
        </w:rPr>
        <w:t>Participants au projet (indiquez les universités et les unités de recherche des chercheurs, les fonctions et établissements des acteurs éducatifs impliqués)</w:t>
      </w:r>
    </w:p>
    <w:p w14:paraId="036A18C5" w14:textId="77777777" w:rsidR="005302ED" w:rsidRPr="005302ED" w:rsidRDefault="005302ED" w:rsidP="005302ED">
      <w:pPr>
        <w:spacing w:before="240" w:after="0"/>
        <w:rPr>
          <w:rStyle w:val="Accentuationintense"/>
          <w:rFonts w:ascii="Roboto" w:hAnsi="Roboto" w:cs="Times New Roman"/>
          <w:b/>
          <w:i w:val="0"/>
          <w:iCs w:val="0"/>
          <w:color w:val="1F4E79" w:themeColor="accent5" w:themeShade="80"/>
          <w:sz w:val="24"/>
          <w:szCs w:val="24"/>
        </w:rPr>
      </w:pPr>
    </w:p>
    <w:p w14:paraId="1844EF79" w14:textId="6E3FA179" w:rsidR="005302ED" w:rsidRPr="005302ED" w:rsidRDefault="005302ED" w:rsidP="005302ED">
      <w:pPr>
        <w:spacing w:before="240" w:after="0"/>
        <w:rPr>
          <w:rStyle w:val="Accentuationintense"/>
          <w:rFonts w:ascii="Roboto" w:hAnsi="Roboto" w:cs="Times New Roman"/>
          <w:b/>
          <w:i w:val="0"/>
          <w:iCs w:val="0"/>
          <w:color w:val="1F4E79" w:themeColor="accent5" w:themeShade="80"/>
          <w:sz w:val="24"/>
          <w:szCs w:val="24"/>
        </w:rPr>
      </w:pPr>
      <w:r w:rsidRPr="005302ED">
        <w:rPr>
          <w:rStyle w:val="Accentuationintense"/>
          <w:rFonts w:ascii="Roboto" w:hAnsi="Roboto" w:cs="Times New Roman"/>
          <w:b/>
          <w:i w:val="0"/>
          <w:iCs w:val="0"/>
          <w:color w:val="1F4E79" w:themeColor="accent5" w:themeShade="80"/>
          <w:sz w:val="24"/>
          <w:szCs w:val="24"/>
        </w:rPr>
        <w:t>Porteur (Prénom, nom, fonction,</w:t>
      </w:r>
      <w:r w:rsidR="00944718">
        <w:rPr>
          <w:rStyle w:val="Accentuationintense"/>
          <w:rFonts w:ascii="Roboto" w:hAnsi="Roboto" w:cs="Times New Roman"/>
          <w:b/>
          <w:i w:val="0"/>
          <w:iCs w:val="0"/>
          <w:color w:val="1F4E79" w:themeColor="accent5" w:themeShade="80"/>
          <w:sz w:val="24"/>
          <w:szCs w:val="24"/>
        </w:rPr>
        <w:t xml:space="preserve"> unité de recherche,</w:t>
      </w:r>
      <w:r w:rsidRPr="005302ED">
        <w:rPr>
          <w:rStyle w:val="Accentuationintense"/>
          <w:rFonts w:ascii="Roboto" w:hAnsi="Roboto" w:cs="Times New Roman"/>
          <w:b/>
          <w:i w:val="0"/>
          <w:iCs w:val="0"/>
          <w:color w:val="1F4E79" w:themeColor="accent5" w:themeShade="80"/>
          <w:sz w:val="24"/>
          <w:szCs w:val="24"/>
        </w:rPr>
        <w:t xml:space="preserve"> coordonnées e-mail et téléphonique)</w:t>
      </w:r>
    </w:p>
    <w:p w14:paraId="27A3A763" w14:textId="77777777" w:rsidR="005302ED" w:rsidRPr="005302ED" w:rsidRDefault="005302ED" w:rsidP="005302ED">
      <w:pPr>
        <w:pStyle w:val="Paragraphedeliste"/>
        <w:rPr>
          <w:rStyle w:val="Accentuationintense"/>
          <w:rFonts w:ascii="Roboto" w:hAnsi="Roboto" w:cstheme="minorHAnsi"/>
          <w:i w:val="0"/>
          <w:iCs w:val="0"/>
          <w:color w:val="1F4E79" w:themeColor="accent5" w:themeShade="80"/>
          <w:sz w:val="20"/>
          <w:szCs w:val="20"/>
        </w:rPr>
      </w:pPr>
    </w:p>
    <w:p w14:paraId="4C593DCE" w14:textId="77777777" w:rsidR="005302ED" w:rsidRPr="005302ED" w:rsidRDefault="005302ED" w:rsidP="005302ED">
      <w:pPr>
        <w:rPr>
          <w:rStyle w:val="Accentuationintense"/>
          <w:rFonts w:ascii="Roboto" w:hAnsi="Roboto" w:cstheme="minorHAnsi"/>
          <w:i w:val="0"/>
          <w:iCs w:val="0"/>
          <w:color w:val="1F4E79" w:themeColor="accent5" w:themeShade="80"/>
          <w:sz w:val="20"/>
          <w:szCs w:val="20"/>
        </w:rPr>
      </w:pPr>
    </w:p>
    <w:p w14:paraId="16A4F48F" w14:textId="487C6BDD" w:rsidR="004B3F0F" w:rsidRDefault="004B3F0F" w:rsidP="00447B22">
      <w:pPr>
        <w:jc w:val="both"/>
        <w:rPr>
          <w:color w:val="1F4E79" w:themeColor="accent5" w:themeShade="80"/>
          <w:sz w:val="20"/>
          <w:szCs w:val="20"/>
        </w:rPr>
      </w:pPr>
    </w:p>
    <w:p w14:paraId="6842DDB7" w14:textId="6840ACEA" w:rsidR="003B2F4A" w:rsidRDefault="003B2F4A" w:rsidP="00447B22">
      <w:pPr>
        <w:jc w:val="both"/>
        <w:rPr>
          <w:color w:val="1F4E79" w:themeColor="accent5" w:themeShade="80"/>
          <w:sz w:val="20"/>
          <w:szCs w:val="20"/>
        </w:rPr>
      </w:pPr>
    </w:p>
    <w:p w14:paraId="14367B61" w14:textId="09280112" w:rsidR="003B2F4A" w:rsidRDefault="003B2F4A" w:rsidP="00447B22">
      <w:pPr>
        <w:jc w:val="both"/>
        <w:rPr>
          <w:color w:val="1F4E79" w:themeColor="accent5" w:themeShade="80"/>
          <w:sz w:val="20"/>
          <w:szCs w:val="20"/>
        </w:rPr>
      </w:pPr>
    </w:p>
    <w:p w14:paraId="5EBDD84B" w14:textId="121AAEF2" w:rsidR="003B2F4A" w:rsidRPr="003B2F4A" w:rsidRDefault="003B2F4A" w:rsidP="003B2F4A">
      <w:pPr>
        <w:jc w:val="center"/>
        <w:rPr>
          <w:b/>
          <w:bCs/>
          <w:color w:val="1F4E79" w:themeColor="accent5" w:themeShade="80"/>
          <w:sz w:val="20"/>
          <w:szCs w:val="20"/>
        </w:rPr>
      </w:pPr>
      <w:r w:rsidRPr="003B2F4A">
        <w:rPr>
          <w:b/>
          <w:bCs/>
          <w:color w:val="1F4E79" w:themeColor="accent5" w:themeShade="80"/>
          <w:sz w:val="20"/>
          <w:szCs w:val="20"/>
        </w:rPr>
        <w:t xml:space="preserve">Merci d’envoyer votre projet au pilote d’axe concerné et à </w:t>
      </w:r>
      <w:hyperlink r:id="rId21" w:history="1">
        <w:r w:rsidR="004218FD" w:rsidRPr="00B5338E">
          <w:rPr>
            <w:rStyle w:val="Lienhypertexte"/>
            <w:b/>
            <w:bCs/>
            <w:sz w:val="20"/>
            <w:szCs w:val="20"/>
          </w:rPr>
          <w:t>prehauts@meshs.fr</w:t>
        </w:r>
      </w:hyperlink>
      <w:r w:rsidRPr="003B2F4A">
        <w:rPr>
          <w:b/>
          <w:bCs/>
          <w:color w:val="1F4E79" w:themeColor="accent5" w:themeShade="80"/>
          <w:sz w:val="20"/>
          <w:szCs w:val="20"/>
        </w:rPr>
        <w:t xml:space="preserve"> d’ici au 18 septembre</w:t>
      </w:r>
    </w:p>
    <w:sectPr w:rsidR="003B2F4A" w:rsidRPr="003B2F4A" w:rsidSect="00315BE2">
      <w:type w:val="continuous"/>
      <w:pgSz w:w="11906" w:h="16838"/>
      <w:pgMar w:top="1417" w:right="1417" w:bottom="1417" w:left="1417" w:header="124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3D63C" w14:textId="77777777" w:rsidR="00B6245F" w:rsidRDefault="00B6245F" w:rsidP="001C5B77">
      <w:pPr>
        <w:spacing w:after="0" w:line="240" w:lineRule="auto"/>
      </w:pPr>
      <w:r>
        <w:separator/>
      </w:r>
    </w:p>
  </w:endnote>
  <w:endnote w:type="continuationSeparator" w:id="0">
    <w:p w14:paraId="2E44A8B3" w14:textId="77777777" w:rsidR="00B6245F" w:rsidRDefault="00B6245F" w:rsidP="001C5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rianne">
    <w:altName w:val="Calibri"/>
    <w:panose1 w:val="00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072207"/>
      <w:docPartObj>
        <w:docPartGallery w:val="Page Numbers (Bottom of Page)"/>
        <w:docPartUnique/>
      </w:docPartObj>
    </w:sdtPr>
    <w:sdtContent>
      <w:p w14:paraId="4BA2B6E6" w14:textId="77777777" w:rsidR="001C5B77" w:rsidRDefault="001C5B77" w:rsidP="001C5B77">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0013F" w14:textId="77777777" w:rsidR="00B6245F" w:rsidRDefault="00B6245F" w:rsidP="001C5B77">
      <w:pPr>
        <w:spacing w:after="0" w:line="240" w:lineRule="auto"/>
      </w:pPr>
      <w:r>
        <w:separator/>
      </w:r>
    </w:p>
  </w:footnote>
  <w:footnote w:type="continuationSeparator" w:id="0">
    <w:p w14:paraId="003B984F" w14:textId="77777777" w:rsidR="00B6245F" w:rsidRDefault="00B6245F" w:rsidP="001C5B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75C6" w14:textId="77777777" w:rsidR="004B3F0F" w:rsidRDefault="004B3F0F">
    <w:pPr>
      <w:pStyle w:val="En-tte"/>
    </w:pPr>
    <w:r>
      <w:rPr>
        <w:noProof/>
      </w:rPr>
      <w:drawing>
        <wp:anchor distT="0" distB="0" distL="114300" distR="114300" simplePos="0" relativeHeight="251659264" behindDoc="0" locked="0" layoutInCell="1" allowOverlap="1" wp14:anchorId="785A0AD5" wp14:editId="315E8950">
          <wp:simplePos x="0" y="0"/>
          <wp:positionH relativeFrom="margin">
            <wp:align>right</wp:align>
          </wp:positionH>
          <wp:positionV relativeFrom="margin">
            <wp:posOffset>-628650</wp:posOffset>
          </wp:positionV>
          <wp:extent cx="1976755" cy="605155"/>
          <wp:effectExtent l="0" t="0" r="4445" b="4445"/>
          <wp:wrapSquare wrapText="bothSides"/>
          <wp:docPr id="125" name="Google Shape;125;g3682d27bf13_0_72" title="logo.png"/>
          <wp:cNvGraphicFramePr/>
          <a:graphic xmlns:a="http://schemas.openxmlformats.org/drawingml/2006/main">
            <a:graphicData uri="http://schemas.openxmlformats.org/drawingml/2006/picture">
              <pic:pic xmlns:pic="http://schemas.openxmlformats.org/drawingml/2006/picture">
                <pic:nvPicPr>
                  <pic:cNvPr id="125" name="Google Shape;125;g3682d27bf13_0_72" title="logo.png"/>
                  <pic:cNvPicPr preferRelativeResize="0"/>
                </pic:nvPicPr>
                <pic:blipFill>
                  <a:blip r:embed="rId1" cstate="print">
                    <a:alphaModFix/>
                    <a:extLst>
                      <a:ext uri="{28A0092B-C50C-407E-A947-70E740481C1C}">
                        <a14:useLocalDpi xmlns:a14="http://schemas.microsoft.com/office/drawing/2010/main" val="0"/>
                      </a:ext>
                    </a:extLst>
                  </a:blip>
                  <a:stretch>
                    <a:fillRect/>
                  </a:stretch>
                </pic:blipFill>
                <pic:spPr>
                  <a:xfrm>
                    <a:off x="0" y="0"/>
                    <a:ext cx="1976755" cy="6051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B6054"/>
    <w:multiLevelType w:val="hybridMultilevel"/>
    <w:tmpl w:val="10B0A338"/>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C386D91"/>
    <w:multiLevelType w:val="hybridMultilevel"/>
    <w:tmpl w:val="4086C47A"/>
    <w:lvl w:ilvl="0" w:tplc="2316675A">
      <w:start w:val="1"/>
      <w:numFmt w:val="decimal"/>
      <w:lvlText w:val="%1."/>
      <w:lvlJc w:val="left"/>
      <w:pPr>
        <w:ind w:left="612" w:hanging="360"/>
      </w:pPr>
      <w:rPr>
        <w:rFonts w:ascii="Calibri" w:eastAsia="Calibri" w:hAnsi="Calibri" w:cs="Calibri" w:hint="default"/>
        <w:b/>
        <w:bCs/>
        <w:i w:val="0"/>
        <w:iCs w:val="0"/>
        <w:spacing w:val="-1"/>
        <w:w w:val="100"/>
        <w:sz w:val="28"/>
        <w:szCs w:val="28"/>
        <w:lang w:val="fr-FR" w:eastAsia="en-US" w:bidi="ar-SA"/>
      </w:rPr>
    </w:lvl>
    <w:lvl w:ilvl="1" w:tplc="4D4493B8">
      <w:start w:val="1"/>
      <w:numFmt w:val="decimal"/>
      <w:lvlText w:val="%2."/>
      <w:lvlJc w:val="left"/>
      <w:pPr>
        <w:ind w:left="972" w:hanging="361"/>
      </w:pPr>
      <w:rPr>
        <w:rFonts w:ascii="Calibri" w:eastAsia="Calibri" w:hAnsi="Calibri" w:cs="Calibri" w:hint="default"/>
        <w:b/>
        <w:bCs/>
        <w:i w:val="0"/>
        <w:iCs w:val="0"/>
        <w:spacing w:val="0"/>
        <w:w w:val="100"/>
        <w:sz w:val="22"/>
        <w:szCs w:val="22"/>
        <w:lang w:val="fr-FR" w:eastAsia="en-US" w:bidi="ar-SA"/>
      </w:rPr>
    </w:lvl>
    <w:lvl w:ilvl="2" w:tplc="6388C53C">
      <w:numFmt w:val="bullet"/>
      <w:lvlText w:val=""/>
      <w:lvlJc w:val="left"/>
      <w:pPr>
        <w:ind w:left="514" w:hanging="173"/>
      </w:pPr>
      <w:rPr>
        <w:rFonts w:ascii="Symbol" w:eastAsia="Symbol" w:hAnsi="Symbol" w:cs="Symbol" w:hint="default"/>
        <w:b w:val="0"/>
        <w:bCs w:val="0"/>
        <w:i w:val="0"/>
        <w:iCs w:val="0"/>
        <w:spacing w:val="0"/>
        <w:w w:val="100"/>
        <w:sz w:val="22"/>
        <w:szCs w:val="22"/>
        <w:lang w:val="fr-FR" w:eastAsia="en-US" w:bidi="ar-SA"/>
      </w:rPr>
    </w:lvl>
    <w:lvl w:ilvl="3" w:tplc="4BE2B17C">
      <w:numFmt w:val="bullet"/>
      <w:lvlText w:val="•"/>
      <w:lvlJc w:val="left"/>
      <w:pPr>
        <w:ind w:left="2108" w:hanging="173"/>
      </w:pPr>
      <w:rPr>
        <w:rFonts w:hint="default"/>
        <w:lang w:val="fr-FR" w:eastAsia="en-US" w:bidi="ar-SA"/>
      </w:rPr>
    </w:lvl>
    <w:lvl w:ilvl="4" w:tplc="9468036C">
      <w:numFmt w:val="bullet"/>
      <w:lvlText w:val="•"/>
      <w:lvlJc w:val="left"/>
      <w:pPr>
        <w:ind w:left="3236" w:hanging="173"/>
      </w:pPr>
      <w:rPr>
        <w:rFonts w:hint="default"/>
        <w:lang w:val="fr-FR" w:eastAsia="en-US" w:bidi="ar-SA"/>
      </w:rPr>
    </w:lvl>
    <w:lvl w:ilvl="5" w:tplc="B0BE0D88">
      <w:numFmt w:val="bullet"/>
      <w:lvlText w:val="•"/>
      <w:lvlJc w:val="left"/>
      <w:pPr>
        <w:ind w:left="4364" w:hanging="173"/>
      </w:pPr>
      <w:rPr>
        <w:rFonts w:hint="default"/>
        <w:lang w:val="fr-FR" w:eastAsia="en-US" w:bidi="ar-SA"/>
      </w:rPr>
    </w:lvl>
    <w:lvl w:ilvl="6" w:tplc="78FCBA06">
      <w:numFmt w:val="bullet"/>
      <w:lvlText w:val="•"/>
      <w:lvlJc w:val="left"/>
      <w:pPr>
        <w:ind w:left="5493" w:hanging="173"/>
      </w:pPr>
      <w:rPr>
        <w:rFonts w:hint="default"/>
        <w:lang w:val="fr-FR" w:eastAsia="en-US" w:bidi="ar-SA"/>
      </w:rPr>
    </w:lvl>
    <w:lvl w:ilvl="7" w:tplc="0096BF5C">
      <w:numFmt w:val="bullet"/>
      <w:lvlText w:val="•"/>
      <w:lvlJc w:val="left"/>
      <w:pPr>
        <w:ind w:left="6621" w:hanging="173"/>
      </w:pPr>
      <w:rPr>
        <w:rFonts w:hint="default"/>
        <w:lang w:val="fr-FR" w:eastAsia="en-US" w:bidi="ar-SA"/>
      </w:rPr>
    </w:lvl>
    <w:lvl w:ilvl="8" w:tplc="CF7423F2">
      <w:numFmt w:val="bullet"/>
      <w:lvlText w:val="•"/>
      <w:lvlJc w:val="left"/>
      <w:pPr>
        <w:ind w:left="7749" w:hanging="173"/>
      </w:pPr>
      <w:rPr>
        <w:rFonts w:hint="default"/>
        <w:lang w:val="fr-FR" w:eastAsia="en-US" w:bidi="ar-SA"/>
      </w:rPr>
    </w:lvl>
  </w:abstractNum>
  <w:abstractNum w:abstractNumId="2" w15:restartNumberingAfterBreak="0">
    <w:nsid w:val="3D202C5B"/>
    <w:multiLevelType w:val="hybridMultilevel"/>
    <w:tmpl w:val="F3E05E1C"/>
    <w:lvl w:ilvl="0" w:tplc="18F0F8A2">
      <w:numFmt w:val="bullet"/>
      <w:lvlText w:val="-"/>
      <w:lvlJc w:val="left"/>
      <w:pPr>
        <w:ind w:left="720" w:hanging="360"/>
      </w:pPr>
      <w:rPr>
        <w:rFonts w:ascii="Roboto" w:eastAsiaTheme="minorHAnsi" w:hAnsi="Roboto"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147156B"/>
    <w:multiLevelType w:val="multilevel"/>
    <w:tmpl w:val="CB421816"/>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665C2D1D"/>
    <w:multiLevelType w:val="hybridMultilevel"/>
    <w:tmpl w:val="7716125C"/>
    <w:lvl w:ilvl="0" w:tplc="D338C566">
      <w:start w:val="22"/>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DEF3CF6"/>
    <w:multiLevelType w:val="multilevel"/>
    <w:tmpl w:val="DA5EC63A"/>
    <w:lvl w:ilvl="0">
      <w:start w:val="1"/>
      <w:numFmt w:val="bullet"/>
      <w:lvlText w:val=""/>
      <w:lvlJc w:val="left"/>
      <w:pPr>
        <w:ind w:left="644" w:hanging="360"/>
      </w:pPr>
      <w:rPr>
        <w:rFonts w:ascii="Wingdings" w:hAnsi="Wingdings" w:cs="Wingdings" w:hint="default"/>
        <w:b/>
        <w:color w:val="auto"/>
        <w:sz w:val="24"/>
        <w:szCs w:val="28"/>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6" w15:restartNumberingAfterBreak="0">
    <w:nsid w:val="75BA364E"/>
    <w:multiLevelType w:val="hybridMultilevel"/>
    <w:tmpl w:val="28023668"/>
    <w:lvl w:ilvl="0" w:tplc="B868E694">
      <w:numFmt w:val="bullet"/>
      <w:lvlText w:val=""/>
      <w:lvlJc w:val="left"/>
      <w:pPr>
        <w:ind w:left="1536" w:hanging="361"/>
      </w:pPr>
      <w:rPr>
        <w:rFonts w:ascii="Symbol" w:eastAsia="Symbol" w:hAnsi="Symbol" w:cs="Symbol" w:hint="default"/>
        <w:b w:val="0"/>
        <w:bCs w:val="0"/>
        <w:i w:val="0"/>
        <w:iCs w:val="0"/>
        <w:spacing w:val="0"/>
        <w:w w:val="100"/>
        <w:sz w:val="22"/>
        <w:szCs w:val="22"/>
        <w:lang w:val="fr-FR" w:eastAsia="en-US" w:bidi="ar-SA"/>
      </w:rPr>
    </w:lvl>
    <w:lvl w:ilvl="1" w:tplc="825C7FBE">
      <w:numFmt w:val="bullet"/>
      <w:lvlText w:val="•"/>
      <w:lvlJc w:val="left"/>
      <w:pPr>
        <w:ind w:left="2386" w:hanging="361"/>
      </w:pPr>
      <w:rPr>
        <w:rFonts w:hint="default"/>
        <w:lang w:val="fr-FR" w:eastAsia="en-US" w:bidi="ar-SA"/>
      </w:rPr>
    </w:lvl>
    <w:lvl w:ilvl="2" w:tplc="3208A312">
      <w:numFmt w:val="bullet"/>
      <w:lvlText w:val="•"/>
      <w:lvlJc w:val="left"/>
      <w:pPr>
        <w:ind w:left="3233" w:hanging="361"/>
      </w:pPr>
      <w:rPr>
        <w:rFonts w:hint="default"/>
        <w:lang w:val="fr-FR" w:eastAsia="en-US" w:bidi="ar-SA"/>
      </w:rPr>
    </w:lvl>
    <w:lvl w:ilvl="3" w:tplc="97285E7C">
      <w:numFmt w:val="bullet"/>
      <w:lvlText w:val="•"/>
      <w:lvlJc w:val="left"/>
      <w:pPr>
        <w:ind w:left="4079" w:hanging="361"/>
      </w:pPr>
      <w:rPr>
        <w:rFonts w:hint="default"/>
        <w:lang w:val="fr-FR" w:eastAsia="en-US" w:bidi="ar-SA"/>
      </w:rPr>
    </w:lvl>
    <w:lvl w:ilvl="4" w:tplc="391438EC">
      <w:numFmt w:val="bullet"/>
      <w:lvlText w:val="•"/>
      <w:lvlJc w:val="left"/>
      <w:pPr>
        <w:ind w:left="4926" w:hanging="361"/>
      </w:pPr>
      <w:rPr>
        <w:rFonts w:hint="default"/>
        <w:lang w:val="fr-FR" w:eastAsia="en-US" w:bidi="ar-SA"/>
      </w:rPr>
    </w:lvl>
    <w:lvl w:ilvl="5" w:tplc="23FA9AEC">
      <w:numFmt w:val="bullet"/>
      <w:lvlText w:val="•"/>
      <w:lvlJc w:val="left"/>
      <w:pPr>
        <w:ind w:left="5773" w:hanging="361"/>
      </w:pPr>
      <w:rPr>
        <w:rFonts w:hint="default"/>
        <w:lang w:val="fr-FR" w:eastAsia="en-US" w:bidi="ar-SA"/>
      </w:rPr>
    </w:lvl>
    <w:lvl w:ilvl="6" w:tplc="E59650F8">
      <w:numFmt w:val="bullet"/>
      <w:lvlText w:val="•"/>
      <w:lvlJc w:val="left"/>
      <w:pPr>
        <w:ind w:left="6619" w:hanging="361"/>
      </w:pPr>
      <w:rPr>
        <w:rFonts w:hint="default"/>
        <w:lang w:val="fr-FR" w:eastAsia="en-US" w:bidi="ar-SA"/>
      </w:rPr>
    </w:lvl>
    <w:lvl w:ilvl="7" w:tplc="B7D4BFF2">
      <w:numFmt w:val="bullet"/>
      <w:lvlText w:val="•"/>
      <w:lvlJc w:val="left"/>
      <w:pPr>
        <w:ind w:left="7466" w:hanging="361"/>
      </w:pPr>
      <w:rPr>
        <w:rFonts w:hint="default"/>
        <w:lang w:val="fr-FR" w:eastAsia="en-US" w:bidi="ar-SA"/>
      </w:rPr>
    </w:lvl>
    <w:lvl w:ilvl="8" w:tplc="53FEC606">
      <w:numFmt w:val="bullet"/>
      <w:lvlText w:val="•"/>
      <w:lvlJc w:val="left"/>
      <w:pPr>
        <w:ind w:left="8313" w:hanging="361"/>
      </w:pPr>
      <w:rPr>
        <w:rFonts w:hint="default"/>
        <w:lang w:val="fr-FR" w:eastAsia="en-US" w:bidi="ar-SA"/>
      </w:rPr>
    </w:lvl>
  </w:abstractNum>
  <w:num w:numId="1" w16cid:durableId="210970730">
    <w:abstractNumId w:val="6"/>
  </w:num>
  <w:num w:numId="2" w16cid:durableId="1376545314">
    <w:abstractNumId w:val="1"/>
  </w:num>
  <w:num w:numId="3" w16cid:durableId="1014839672">
    <w:abstractNumId w:val="3"/>
  </w:num>
  <w:num w:numId="4" w16cid:durableId="1093630899">
    <w:abstractNumId w:val="5"/>
  </w:num>
  <w:num w:numId="5" w16cid:durableId="719670839">
    <w:abstractNumId w:val="4"/>
  </w:num>
  <w:num w:numId="6" w16cid:durableId="1507478033">
    <w:abstractNumId w:val="0"/>
  </w:num>
  <w:num w:numId="7" w16cid:durableId="926379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454"/>
    <w:rsid w:val="00020C59"/>
    <w:rsid w:val="00040CAE"/>
    <w:rsid w:val="000430D5"/>
    <w:rsid w:val="00054F06"/>
    <w:rsid w:val="000E0B6B"/>
    <w:rsid w:val="000F1454"/>
    <w:rsid w:val="001356E9"/>
    <w:rsid w:val="001667CC"/>
    <w:rsid w:val="001C5B77"/>
    <w:rsid w:val="002223D5"/>
    <w:rsid w:val="00245F08"/>
    <w:rsid w:val="00273C65"/>
    <w:rsid w:val="0029261B"/>
    <w:rsid w:val="00295694"/>
    <w:rsid w:val="00315BE2"/>
    <w:rsid w:val="00317462"/>
    <w:rsid w:val="00337837"/>
    <w:rsid w:val="0034210A"/>
    <w:rsid w:val="003916B0"/>
    <w:rsid w:val="003B2F4A"/>
    <w:rsid w:val="0041222E"/>
    <w:rsid w:val="004218FD"/>
    <w:rsid w:val="00447B22"/>
    <w:rsid w:val="004506EC"/>
    <w:rsid w:val="00453E78"/>
    <w:rsid w:val="004811B4"/>
    <w:rsid w:val="004B3F0F"/>
    <w:rsid w:val="005302ED"/>
    <w:rsid w:val="00586C69"/>
    <w:rsid w:val="005B2539"/>
    <w:rsid w:val="005B6C10"/>
    <w:rsid w:val="00663BEF"/>
    <w:rsid w:val="00690EEC"/>
    <w:rsid w:val="006A5FE3"/>
    <w:rsid w:val="00751555"/>
    <w:rsid w:val="0077099C"/>
    <w:rsid w:val="007714F6"/>
    <w:rsid w:val="007D4B24"/>
    <w:rsid w:val="008F0F59"/>
    <w:rsid w:val="0093519A"/>
    <w:rsid w:val="00944718"/>
    <w:rsid w:val="00986930"/>
    <w:rsid w:val="00994B14"/>
    <w:rsid w:val="009B793C"/>
    <w:rsid w:val="00A134DD"/>
    <w:rsid w:val="00A2731B"/>
    <w:rsid w:val="00AA3151"/>
    <w:rsid w:val="00B6245F"/>
    <w:rsid w:val="00C028F7"/>
    <w:rsid w:val="00C74C56"/>
    <w:rsid w:val="00C91348"/>
    <w:rsid w:val="00CC2C64"/>
    <w:rsid w:val="00D96961"/>
    <w:rsid w:val="00FA0ADC"/>
    <w:rsid w:val="00FC5938"/>
    <w:rsid w:val="00FF28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BE3D5"/>
  <w15:chartTrackingRefBased/>
  <w15:docId w15:val="{352502FC-17F4-4BB2-9216-D742BBC28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70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77099C"/>
    <w:pPr>
      <w:widowControl w:val="0"/>
      <w:autoSpaceDE w:val="0"/>
      <w:autoSpaceDN w:val="0"/>
      <w:spacing w:after="0" w:line="240" w:lineRule="auto"/>
    </w:pPr>
    <w:rPr>
      <w:rFonts w:ascii="Calibri" w:eastAsia="Calibri" w:hAnsi="Calibri" w:cs="Calibri"/>
    </w:rPr>
  </w:style>
  <w:style w:type="character" w:customStyle="1" w:styleId="CorpsdetexteCar">
    <w:name w:val="Corps de texte Car"/>
    <w:basedOn w:val="Policepardfaut"/>
    <w:link w:val="Corpsdetexte"/>
    <w:uiPriority w:val="1"/>
    <w:rsid w:val="0077099C"/>
    <w:rPr>
      <w:rFonts w:ascii="Calibri" w:eastAsia="Calibri" w:hAnsi="Calibri" w:cs="Calibri"/>
    </w:rPr>
  </w:style>
  <w:style w:type="paragraph" w:styleId="Paragraphedeliste">
    <w:name w:val="List Paragraph"/>
    <w:basedOn w:val="Normal"/>
    <w:uiPriority w:val="34"/>
    <w:qFormat/>
    <w:rsid w:val="0077099C"/>
    <w:pPr>
      <w:widowControl w:val="0"/>
      <w:autoSpaceDE w:val="0"/>
      <w:autoSpaceDN w:val="0"/>
      <w:spacing w:after="0" w:line="240" w:lineRule="auto"/>
      <w:ind w:left="816" w:hanging="360"/>
    </w:pPr>
    <w:rPr>
      <w:rFonts w:ascii="Calibri" w:eastAsia="Calibri" w:hAnsi="Calibri" w:cs="Calibri"/>
    </w:rPr>
  </w:style>
  <w:style w:type="character" w:customStyle="1" w:styleId="fontstyle01">
    <w:name w:val="fontstyle01"/>
    <w:basedOn w:val="Policepardfaut"/>
    <w:rsid w:val="002223D5"/>
    <w:rPr>
      <w:rFonts w:ascii="Calibri" w:hAnsi="Calibri" w:cs="Calibri" w:hint="default"/>
      <w:b w:val="0"/>
      <w:bCs w:val="0"/>
      <w:i w:val="0"/>
      <w:iCs w:val="0"/>
      <w:color w:val="000000"/>
      <w:sz w:val="22"/>
      <w:szCs w:val="22"/>
    </w:rPr>
  </w:style>
  <w:style w:type="character" w:customStyle="1" w:styleId="fontstyle21">
    <w:name w:val="fontstyle21"/>
    <w:basedOn w:val="Policepardfaut"/>
    <w:rsid w:val="00054F06"/>
    <w:rPr>
      <w:rFonts w:ascii="Calibri-Bold" w:hAnsi="Calibri-Bold" w:hint="default"/>
      <w:b/>
      <w:bCs/>
      <w:i w:val="0"/>
      <w:iCs w:val="0"/>
      <w:color w:val="000000"/>
      <w:sz w:val="22"/>
      <w:szCs w:val="22"/>
    </w:rPr>
  </w:style>
  <w:style w:type="paragraph" w:styleId="En-tte">
    <w:name w:val="header"/>
    <w:basedOn w:val="Normal"/>
    <w:link w:val="En-tteCar"/>
    <w:uiPriority w:val="99"/>
    <w:unhideWhenUsed/>
    <w:rsid w:val="001C5B77"/>
    <w:pPr>
      <w:tabs>
        <w:tab w:val="center" w:pos="4536"/>
        <w:tab w:val="right" w:pos="9072"/>
      </w:tabs>
      <w:spacing w:after="0" w:line="240" w:lineRule="auto"/>
    </w:pPr>
  </w:style>
  <w:style w:type="character" w:customStyle="1" w:styleId="En-tteCar">
    <w:name w:val="En-tête Car"/>
    <w:basedOn w:val="Policepardfaut"/>
    <w:link w:val="En-tte"/>
    <w:uiPriority w:val="99"/>
    <w:rsid w:val="001C5B77"/>
  </w:style>
  <w:style w:type="paragraph" w:styleId="Pieddepage">
    <w:name w:val="footer"/>
    <w:basedOn w:val="Normal"/>
    <w:link w:val="PieddepageCar"/>
    <w:uiPriority w:val="99"/>
    <w:unhideWhenUsed/>
    <w:rsid w:val="001C5B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5B77"/>
  </w:style>
  <w:style w:type="character" w:styleId="Marquedecommentaire">
    <w:name w:val="annotation reference"/>
    <w:basedOn w:val="Policepardfaut"/>
    <w:uiPriority w:val="99"/>
    <w:semiHidden/>
    <w:unhideWhenUsed/>
    <w:rsid w:val="001C5B77"/>
    <w:rPr>
      <w:sz w:val="16"/>
      <w:szCs w:val="16"/>
    </w:rPr>
  </w:style>
  <w:style w:type="paragraph" w:styleId="Commentaire">
    <w:name w:val="annotation text"/>
    <w:basedOn w:val="Normal"/>
    <w:link w:val="CommentaireCar"/>
    <w:uiPriority w:val="99"/>
    <w:semiHidden/>
    <w:unhideWhenUsed/>
    <w:rsid w:val="001C5B77"/>
    <w:pPr>
      <w:spacing w:line="240" w:lineRule="auto"/>
    </w:pPr>
    <w:rPr>
      <w:sz w:val="20"/>
      <w:szCs w:val="20"/>
    </w:rPr>
  </w:style>
  <w:style w:type="character" w:customStyle="1" w:styleId="CommentaireCar">
    <w:name w:val="Commentaire Car"/>
    <w:basedOn w:val="Policepardfaut"/>
    <w:link w:val="Commentaire"/>
    <w:uiPriority w:val="99"/>
    <w:semiHidden/>
    <w:rsid w:val="001C5B77"/>
    <w:rPr>
      <w:sz w:val="20"/>
      <w:szCs w:val="20"/>
    </w:rPr>
  </w:style>
  <w:style w:type="paragraph" w:styleId="Objetducommentaire">
    <w:name w:val="annotation subject"/>
    <w:basedOn w:val="Commentaire"/>
    <w:next w:val="Commentaire"/>
    <w:link w:val="ObjetducommentaireCar"/>
    <w:uiPriority w:val="99"/>
    <w:semiHidden/>
    <w:unhideWhenUsed/>
    <w:rsid w:val="001C5B77"/>
    <w:rPr>
      <w:b/>
      <w:bCs/>
    </w:rPr>
  </w:style>
  <w:style w:type="character" w:customStyle="1" w:styleId="ObjetducommentaireCar">
    <w:name w:val="Objet du commentaire Car"/>
    <w:basedOn w:val="CommentaireCar"/>
    <w:link w:val="Objetducommentaire"/>
    <w:uiPriority w:val="99"/>
    <w:semiHidden/>
    <w:rsid w:val="001C5B77"/>
    <w:rPr>
      <w:b/>
      <w:bCs/>
      <w:sz w:val="20"/>
      <w:szCs w:val="20"/>
    </w:rPr>
  </w:style>
  <w:style w:type="paragraph" w:styleId="Textedebulles">
    <w:name w:val="Balloon Text"/>
    <w:basedOn w:val="Normal"/>
    <w:link w:val="TextedebullesCar"/>
    <w:uiPriority w:val="99"/>
    <w:semiHidden/>
    <w:unhideWhenUsed/>
    <w:rsid w:val="001C5B7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C5B77"/>
    <w:rPr>
      <w:rFonts w:ascii="Segoe UI" w:hAnsi="Segoe UI" w:cs="Segoe UI"/>
      <w:sz w:val="18"/>
      <w:szCs w:val="18"/>
    </w:rPr>
  </w:style>
  <w:style w:type="character" w:styleId="Accentuationintense">
    <w:name w:val="Intense Emphasis"/>
    <w:basedOn w:val="Policepardfaut"/>
    <w:uiPriority w:val="21"/>
    <w:qFormat/>
    <w:rsid w:val="005302ED"/>
    <w:rPr>
      <w:i/>
      <w:iCs/>
      <w:color w:val="4472C4" w:themeColor="accent1"/>
    </w:rPr>
  </w:style>
  <w:style w:type="character" w:styleId="Lienhypertexte">
    <w:name w:val="Hyperlink"/>
    <w:basedOn w:val="Policepardfaut"/>
    <w:uiPriority w:val="99"/>
    <w:unhideWhenUsed/>
    <w:rsid w:val="003B2F4A"/>
    <w:rPr>
      <w:color w:val="0563C1" w:themeColor="hyperlink"/>
      <w:u w:val="single"/>
    </w:rPr>
  </w:style>
  <w:style w:type="character" w:styleId="Mentionnonrsolue">
    <w:name w:val="Unresolved Mention"/>
    <w:basedOn w:val="Policepardfaut"/>
    <w:uiPriority w:val="99"/>
    <w:semiHidden/>
    <w:unhideWhenUsed/>
    <w:rsid w:val="003B2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08110">
      <w:bodyDiv w:val="1"/>
      <w:marLeft w:val="0"/>
      <w:marRight w:val="0"/>
      <w:marTop w:val="0"/>
      <w:marBottom w:val="0"/>
      <w:divBdr>
        <w:top w:val="none" w:sz="0" w:space="0" w:color="auto"/>
        <w:left w:val="none" w:sz="0" w:space="0" w:color="auto"/>
        <w:bottom w:val="none" w:sz="0" w:space="0" w:color="auto"/>
        <w:right w:val="none" w:sz="0" w:space="0" w:color="auto"/>
      </w:divBdr>
    </w:div>
    <w:div w:id="174830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hyperlink" Target="mailto:lucie.mougenot@u-picardie.fr" TargetMode="External"/><Relationship Id="rId3" Type="http://schemas.openxmlformats.org/officeDocument/2006/relationships/styles" Target="styles.xml"/><Relationship Id="rId21" Type="http://schemas.openxmlformats.org/officeDocument/2006/relationships/hyperlink" Target="mailto:prehauts@meshs.fr"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jeanfrancois.condette@univ-lille.fr"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mailto:anne.besson@univ-artois.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caroline.desombre@univ-lille.f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F7401-5CBF-431A-9FB7-D5D6E8FFB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2652</Words>
  <Characters>14592</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Relecteur1</dc:creator>
  <cp:keywords/>
  <dc:description/>
  <cp:lastModifiedBy>Mathilde WYBO</cp:lastModifiedBy>
  <cp:revision>9</cp:revision>
  <dcterms:created xsi:type="dcterms:W3CDTF">2026-01-07T14:06:00Z</dcterms:created>
  <dcterms:modified xsi:type="dcterms:W3CDTF">2026-08-31T14:22:00Z</dcterms:modified>
</cp:coreProperties>
</file>